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C0A2A" w14:textId="602E68E9" w:rsidR="00AB05A6" w:rsidRPr="00AB05A6" w:rsidRDefault="00AB05A6" w:rsidP="00AB05A6">
      <w:pPr>
        <w:spacing w:after="0" w:line="360" w:lineRule="auto"/>
        <w:ind w:firstLine="708"/>
        <w:jc w:val="right"/>
        <w:rPr>
          <w:rFonts w:ascii="Times New Roman" w:hAnsi="Times New Roman"/>
          <w:b/>
          <w:sz w:val="24"/>
          <w:szCs w:val="24"/>
          <w:lang w:val="en-AU"/>
        </w:rPr>
      </w:pPr>
      <w:r w:rsidRPr="00AB05A6">
        <w:rPr>
          <w:rFonts w:ascii="Times New Roman" w:hAnsi="Times New Roman"/>
          <w:b/>
          <w:sz w:val="24"/>
          <w:szCs w:val="24"/>
          <w:lang w:val="en-AU"/>
        </w:rPr>
        <w:tab/>
      </w:r>
      <w:proofErr w:type="spellStart"/>
      <w:r>
        <w:rPr>
          <w:rFonts w:ascii="Times New Roman" w:hAnsi="Times New Roman"/>
          <w:b/>
          <w:sz w:val="24"/>
          <w:szCs w:val="24"/>
          <w:lang w:val="en-AU"/>
        </w:rPr>
        <w:t>Prof.</w:t>
      </w:r>
      <w:proofErr w:type="spellEnd"/>
      <w:r>
        <w:rPr>
          <w:rFonts w:ascii="Times New Roman" w:hAnsi="Times New Roman"/>
          <w:b/>
          <w:sz w:val="24"/>
          <w:szCs w:val="24"/>
          <w:lang w:val="en-AU"/>
        </w:rPr>
        <w:t xml:space="preserve"> </w:t>
      </w:r>
      <w:r w:rsidRPr="00AB05A6">
        <w:rPr>
          <w:rFonts w:ascii="Times New Roman" w:hAnsi="Times New Roman"/>
          <w:b/>
          <w:sz w:val="24"/>
          <w:szCs w:val="24"/>
          <w:lang w:val="en-AU"/>
        </w:rPr>
        <w:t>Jacek Tomkiewicz, Ph.D.</w:t>
      </w:r>
    </w:p>
    <w:p w14:paraId="2C1ECDB1" w14:textId="5F35A2EA" w:rsidR="00AB05A6" w:rsidRDefault="00AB05A6" w:rsidP="00AB05A6">
      <w:pPr>
        <w:spacing w:after="0" w:line="360" w:lineRule="auto"/>
        <w:ind w:firstLine="708"/>
        <w:jc w:val="right"/>
        <w:rPr>
          <w:rFonts w:ascii="Times New Roman" w:hAnsi="Times New Roman"/>
          <w:b/>
          <w:sz w:val="24"/>
          <w:szCs w:val="24"/>
          <w:lang w:val="en-AU"/>
        </w:rPr>
      </w:pPr>
      <w:proofErr w:type="spellStart"/>
      <w:r w:rsidRPr="00AB05A6">
        <w:rPr>
          <w:rFonts w:ascii="Times New Roman" w:hAnsi="Times New Roman"/>
          <w:b/>
          <w:sz w:val="24"/>
          <w:szCs w:val="24"/>
          <w:lang w:val="en-AU"/>
        </w:rPr>
        <w:t>Kozminski</w:t>
      </w:r>
      <w:proofErr w:type="spellEnd"/>
      <w:r w:rsidRPr="00AB05A6">
        <w:rPr>
          <w:rFonts w:ascii="Times New Roman" w:hAnsi="Times New Roman"/>
          <w:b/>
          <w:sz w:val="24"/>
          <w:szCs w:val="24"/>
          <w:lang w:val="en-AU"/>
        </w:rPr>
        <w:t xml:space="preserve"> University, Warsaw, Poland</w:t>
      </w:r>
    </w:p>
    <w:p w14:paraId="27B7D748" w14:textId="77777777" w:rsidR="00AB05A6" w:rsidRPr="00AB05A6" w:rsidRDefault="00AB05A6" w:rsidP="00AB05A6">
      <w:pPr>
        <w:spacing w:after="0" w:line="360" w:lineRule="auto"/>
        <w:ind w:firstLine="708"/>
        <w:jc w:val="right"/>
        <w:rPr>
          <w:rFonts w:ascii="Times New Roman" w:hAnsi="Times New Roman"/>
          <w:b/>
          <w:sz w:val="24"/>
          <w:szCs w:val="24"/>
          <w:lang w:val="en-AU"/>
        </w:rPr>
      </w:pPr>
    </w:p>
    <w:p w14:paraId="34C5D060" w14:textId="368D3665" w:rsidR="00AB05A6" w:rsidRPr="00AB05A6" w:rsidRDefault="00AB05A6" w:rsidP="00AB05A6">
      <w:pPr>
        <w:spacing w:after="0" w:line="360" w:lineRule="auto"/>
        <w:ind w:firstLine="708"/>
        <w:jc w:val="both"/>
        <w:rPr>
          <w:rFonts w:ascii="Times New Roman" w:hAnsi="Times New Roman"/>
          <w:b/>
          <w:sz w:val="24"/>
          <w:szCs w:val="24"/>
          <w:lang w:val="en-AU"/>
        </w:rPr>
      </w:pPr>
      <w:r w:rsidRPr="00AB05A6">
        <w:rPr>
          <w:rFonts w:ascii="Times New Roman" w:hAnsi="Times New Roman"/>
          <w:b/>
          <w:sz w:val="24"/>
          <w:szCs w:val="24"/>
          <w:lang w:val="en-AU"/>
        </w:rPr>
        <w:t>Income Dynamics and Structure in CEE Economies in the Context of Deepening EU Integration</w:t>
      </w:r>
      <w:r>
        <w:rPr>
          <w:rStyle w:val="Odwoanieprzypisudolnego"/>
          <w:rFonts w:ascii="Times New Roman" w:hAnsi="Times New Roman"/>
          <w:b/>
          <w:sz w:val="24"/>
          <w:szCs w:val="24"/>
          <w:lang w:val="en-AU"/>
        </w:rPr>
        <w:footnoteReference w:id="1"/>
      </w:r>
    </w:p>
    <w:p w14:paraId="3FD5E6AC" w14:textId="77777777" w:rsidR="00AB05A6" w:rsidRDefault="00AB05A6" w:rsidP="00AB05A6">
      <w:pPr>
        <w:spacing w:after="0" w:line="360" w:lineRule="auto"/>
        <w:ind w:firstLine="708"/>
        <w:jc w:val="both"/>
        <w:rPr>
          <w:rFonts w:ascii="Times New Roman" w:hAnsi="Times New Roman"/>
          <w:b/>
          <w:sz w:val="24"/>
          <w:szCs w:val="24"/>
        </w:rPr>
      </w:pPr>
    </w:p>
    <w:p w14:paraId="3665DFED" w14:textId="6AB6BF80" w:rsidR="000027D9" w:rsidRDefault="000027D9" w:rsidP="00AB05A6">
      <w:pPr>
        <w:spacing w:after="0" w:line="360" w:lineRule="auto"/>
        <w:ind w:firstLine="708"/>
        <w:jc w:val="both"/>
        <w:rPr>
          <w:rFonts w:ascii="Times New Roman" w:hAnsi="Times New Roman"/>
          <w:b/>
          <w:sz w:val="24"/>
          <w:szCs w:val="24"/>
        </w:rPr>
      </w:pPr>
      <w:r w:rsidRPr="00AB56A1">
        <w:rPr>
          <w:rFonts w:ascii="Times New Roman" w:hAnsi="Times New Roman"/>
          <w:b/>
          <w:sz w:val="24"/>
          <w:szCs w:val="24"/>
        </w:rPr>
        <w:t>Introduction</w:t>
      </w:r>
      <w:bookmarkStart w:id="0" w:name="_GoBack"/>
      <w:bookmarkEnd w:id="0"/>
    </w:p>
    <w:p w14:paraId="7FDD705B" w14:textId="77777777" w:rsidR="00293A39" w:rsidRPr="00AB56A1" w:rsidRDefault="00293A39" w:rsidP="00AB05A6">
      <w:pPr>
        <w:spacing w:after="0" w:line="360" w:lineRule="auto"/>
        <w:ind w:firstLine="708"/>
        <w:jc w:val="both"/>
        <w:rPr>
          <w:rFonts w:ascii="Times New Roman" w:eastAsia="Times New Roman" w:hAnsi="Times New Roman" w:cs="Times New Roman"/>
          <w:b/>
          <w:sz w:val="24"/>
          <w:szCs w:val="24"/>
        </w:rPr>
      </w:pPr>
    </w:p>
    <w:p w14:paraId="7D4C4EF4" w14:textId="3A56D75F" w:rsidR="00B032F6" w:rsidRPr="00AB56A1" w:rsidRDefault="002C1E7C" w:rsidP="00AB05A6">
      <w:pPr>
        <w:spacing w:after="0" w:line="360" w:lineRule="auto"/>
        <w:ind w:firstLine="708"/>
        <w:jc w:val="both"/>
        <w:rPr>
          <w:rFonts w:ascii="Times New Roman" w:eastAsia="Times New Roman" w:hAnsi="Times New Roman" w:cs="Times New Roman"/>
          <w:sz w:val="24"/>
          <w:szCs w:val="24"/>
        </w:rPr>
      </w:pPr>
      <w:r>
        <w:rPr>
          <w:rFonts w:ascii="Times New Roman" w:hAnsi="Times New Roman"/>
          <w:sz w:val="24"/>
          <w:szCs w:val="24"/>
        </w:rPr>
        <w:t>The</w:t>
      </w:r>
      <w:r w:rsidRPr="00AB56A1">
        <w:rPr>
          <w:rFonts w:ascii="Times New Roman" w:hAnsi="Times New Roman"/>
          <w:sz w:val="24"/>
          <w:szCs w:val="24"/>
        </w:rPr>
        <w:t xml:space="preserve"> </w:t>
      </w:r>
      <w:r w:rsidR="000027D9" w:rsidRPr="00AB56A1">
        <w:rPr>
          <w:rFonts w:ascii="Times New Roman" w:hAnsi="Times New Roman"/>
          <w:sz w:val="24"/>
          <w:szCs w:val="24"/>
        </w:rPr>
        <w:t xml:space="preserve">economic integration of EU countries is the most far-reaching area of international cooperation in the world. Nowhere else in the world, </w:t>
      </w:r>
      <w:r>
        <w:rPr>
          <w:rFonts w:ascii="Times New Roman" w:hAnsi="Times New Roman"/>
          <w:sz w:val="24"/>
          <w:szCs w:val="24"/>
        </w:rPr>
        <w:t>in an area</w:t>
      </w:r>
      <w:r w:rsidR="000027D9" w:rsidRPr="00AB56A1">
        <w:rPr>
          <w:rFonts w:ascii="Times New Roman" w:hAnsi="Times New Roman"/>
          <w:sz w:val="24"/>
          <w:szCs w:val="24"/>
        </w:rPr>
        <w:t xml:space="preserve"> that comprises 28 countries, </w:t>
      </w:r>
      <w:r>
        <w:rPr>
          <w:rFonts w:ascii="Times New Roman" w:hAnsi="Times New Roman"/>
          <w:sz w:val="24"/>
          <w:szCs w:val="24"/>
        </w:rPr>
        <w:t xml:space="preserve">are </w:t>
      </w:r>
      <w:r w:rsidR="000027D9" w:rsidRPr="00AB56A1">
        <w:rPr>
          <w:rFonts w:ascii="Times New Roman" w:hAnsi="Times New Roman"/>
          <w:sz w:val="24"/>
          <w:szCs w:val="24"/>
        </w:rPr>
        <w:t>the economic connections so strong. Despite the fact that essential decisions on the economic policy are still made on the national level</w:t>
      </w:r>
      <w:r w:rsidR="000027D9" w:rsidRPr="00AB56A1">
        <w:rPr>
          <w:rStyle w:val="Odwoanieprzypisudolnego"/>
          <w:rFonts w:ascii="Times New Roman" w:eastAsia="Times New Roman" w:hAnsi="Times New Roman" w:cs="Times New Roman"/>
          <w:sz w:val="24"/>
          <w:szCs w:val="24"/>
        </w:rPr>
        <w:footnoteReference w:id="2"/>
      </w:r>
      <w:r w:rsidR="000027D9" w:rsidRPr="00AB56A1">
        <w:rPr>
          <w:rFonts w:ascii="Times New Roman" w:hAnsi="Times New Roman"/>
          <w:sz w:val="24"/>
          <w:szCs w:val="24"/>
        </w:rPr>
        <w:t>,</w:t>
      </w:r>
      <w:r>
        <w:rPr>
          <w:rFonts w:ascii="Times New Roman" w:hAnsi="Times New Roman"/>
          <w:sz w:val="24"/>
          <w:szCs w:val="24"/>
        </w:rPr>
        <w:t xml:space="preserve"> </w:t>
      </w:r>
      <w:r w:rsidR="000027D9" w:rsidRPr="00AB56A1">
        <w:rPr>
          <w:rFonts w:ascii="Times New Roman" w:hAnsi="Times New Roman"/>
          <w:sz w:val="24"/>
          <w:szCs w:val="24"/>
        </w:rPr>
        <w:t xml:space="preserve">there is no doubt that </w:t>
      </w:r>
      <w:r>
        <w:rPr>
          <w:rFonts w:ascii="Times New Roman" w:hAnsi="Times New Roman"/>
          <w:sz w:val="24"/>
          <w:szCs w:val="24"/>
        </w:rPr>
        <w:t xml:space="preserve">the </w:t>
      </w:r>
      <w:r w:rsidR="000027D9" w:rsidRPr="00AB56A1">
        <w:rPr>
          <w:rFonts w:ascii="Times New Roman" w:hAnsi="Times New Roman"/>
          <w:sz w:val="24"/>
          <w:szCs w:val="24"/>
        </w:rPr>
        <w:t xml:space="preserve">functioning of such </w:t>
      </w:r>
      <w:r>
        <w:rPr>
          <w:rFonts w:ascii="Times New Roman" w:hAnsi="Times New Roman"/>
          <w:sz w:val="24"/>
          <w:szCs w:val="24"/>
        </w:rPr>
        <w:t xml:space="preserve">a </w:t>
      </w:r>
      <w:r w:rsidR="000027D9" w:rsidRPr="00AB56A1">
        <w:rPr>
          <w:rFonts w:ascii="Times New Roman" w:hAnsi="Times New Roman"/>
          <w:sz w:val="24"/>
          <w:szCs w:val="24"/>
        </w:rPr>
        <w:t xml:space="preserve">group as </w:t>
      </w:r>
      <w:r>
        <w:rPr>
          <w:rFonts w:ascii="Times New Roman" w:hAnsi="Times New Roman"/>
          <w:sz w:val="24"/>
          <w:szCs w:val="24"/>
        </w:rPr>
        <w:t xml:space="preserve">the </w:t>
      </w:r>
      <w:r w:rsidR="000027D9" w:rsidRPr="00AB56A1">
        <w:rPr>
          <w:rFonts w:ascii="Times New Roman" w:hAnsi="Times New Roman"/>
          <w:sz w:val="24"/>
          <w:szCs w:val="24"/>
        </w:rPr>
        <w:t xml:space="preserve">EU fundamentally changes the economic environment </w:t>
      </w:r>
      <w:r>
        <w:rPr>
          <w:rFonts w:ascii="Times New Roman" w:hAnsi="Times New Roman"/>
          <w:sz w:val="24"/>
          <w:szCs w:val="24"/>
        </w:rPr>
        <w:t>of</w:t>
      </w:r>
      <w:r w:rsidRPr="00AB56A1">
        <w:rPr>
          <w:rFonts w:ascii="Times New Roman" w:hAnsi="Times New Roman"/>
          <w:sz w:val="24"/>
          <w:szCs w:val="24"/>
        </w:rPr>
        <w:t xml:space="preserve"> </w:t>
      </w:r>
      <w:r w:rsidR="000027D9" w:rsidRPr="00AB56A1">
        <w:rPr>
          <w:rFonts w:ascii="Times New Roman" w:hAnsi="Times New Roman"/>
          <w:sz w:val="24"/>
          <w:szCs w:val="24"/>
        </w:rPr>
        <w:t xml:space="preserve">the entire </w:t>
      </w:r>
      <w:r>
        <w:rPr>
          <w:rFonts w:ascii="Times New Roman" w:hAnsi="Times New Roman"/>
          <w:sz w:val="24"/>
          <w:szCs w:val="24"/>
        </w:rPr>
        <w:t xml:space="preserve">European </w:t>
      </w:r>
      <w:r w:rsidR="000027D9" w:rsidRPr="00AB56A1">
        <w:rPr>
          <w:rFonts w:ascii="Times New Roman" w:hAnsi="Times New Roman"/>
          <w:sz w:val="24"/>
          <w:szCs w:val="24"/>
        </w:rPr>
        <w:t>Union and</w:t>
      </w:r>
      <w:r>
        <w:rPr>
          <w:rFonts w:ascii="Times New Roman" w:hAnsi="Times New Roman"/>
          <w:sz w:val="24"/>
          <w:szCs w:val="24"/>
        </w:rPr>
        <w:t>,</w:t>
      </w:r>
      <w:r w:rsidR="000027D9" w:rsidRPr="00AB56A1">
        <w:rPr>
          <w:rFonts w:ascii="Times New Roman" w:hAnsi="Times New Roman"/>
          <w:sz w:val="24"/>
          <w:szCs w:val="24"/>
        </w:rPr>
        <w:t xml:space="preserve"> in particular</w:t>
      </w:r>
      <w:r>
        <w:rPr>
          <w:rFonts w:ascii="Times New Roman" w:hAnsi="Times New Roman"/>
          <w:sz w:val="24"/>
          <w:szCs w:val="24"/>
        </w:rPr>
        <w:t>,</w:t>
      </w:r>
      <w:r w:rsidR="000027D9" w:rsidRPr="00AB56A1">
        <w:rPr>
          <w:rFonts w:ascii="Times New Roman" w:hAnsi="Times New Roman"/>
          <w:sz w:val="24"/>
          <w:szCs w:val="24"/>
        </w:rPr>
        <w:t xml:space="preserve"> national economies. We should mention </w:t>
      </w:r>
      <w:r>
        <w:rPr>
          <w:rFonts w:ascii="Times New Roman" w:hAnsi="Times New Roman"/>
          <w:sz w:val="24"/>
          <w:szCs w:val="24"/>
        </w:rPr>
        <w:t>at a minimum mention</w:t>
      </w:r>
      <w:r w:rsidR="000027D9" w:rsidRPr="00AB56A1">
        <w:rPr>
          <w:rFonts w:ascii="Times New Roman" w:hAnsi="Times New Roman"/>
          <w:sz w:val="24"/>
          <w:szCs w:val="24"/>
        </w:rPr>
        <w:t xml:space="preserve"> the rules of </w:t>
      </w:r>
      <w:r>
        <w:rPr>
          <w:rFonts w:ascii="Times New Roman" w:hAnsi="Times New Roman"/>
          <w:sz w:val="24"/>
          <w:szCs w:val="24"/>
        </w:rPr>
        <w:t xml:space="preserve">the </w:t>
      </w:r>
      <w:r w:rsidR="000027D9" w:rsidRPr="00AB56A1">
        <w:rPr>
          <w:rFonts w:ascii="Times New Roman" w:hAnsi="Times New Roman"/>
          <w:sz w:val="24"/>
          <w:szCs w:val="24"/>
        </w:rPr>
        <w:t xml:space="preserve">free movement of services, goods, capital and workforce </w:t>
      </w:r>
      <w:r>
        <w:rPr>
          <w:rFonts w:ascii="Times New Roman" w:hAnsi="Times New Roman"/>
          <w:sz w:val="24"/>
          <w:szCs w:val="24"/>
        </w:rPr>
        <w:t>as well as</w:t>
      </w:r>
      <w:r w:rsidRPr="00AB56A1">
        <w:rPr>
          <w:rFonts w:ascii="Times New Roman" w:hAnsi="Times New Roman"/>
          <w:sz w:val="24"/>
          <w:szCs w:val="24"/>
        </w:rPr>
        <w:t xml:space="preserve"> </w:t>
      </w:r>
      <w:r w:rsidR="000027D9" w:rsidRPr="00AB56A1">
        <w:rPr>
          <w:rFonts w:ascii="Times New Roman" w:hAnsi="Times New Roman"/>
          <w:sz w:val="24"/>
          <w:szCs w:val="24"/>
        </w:rPr>
        <w:t xml:space="preserve">about </w:t>
      </w:r>
      <w:r>
        <w:rPr>
          <w:rFonts w:ascii="Times New Roman" w:hAnsi="Times New Roman"/>
          <w:sz w:val="24"/>
          <w:szCs w:val="24"/>
        </w:rPr>
        <w:t xml:space="preserve">the </w:t>
      </w:r>
      <w:r w:rsidR="000027D9" w:rsidRPr="00AB56A1">
        <w:rPr>
          <w:rFonts w:ascii="Times New Roman" w:hAnsi="Times New Roman"/>
          <w:sz w:val="24"/>
          <w:szCs w:val="24"/>
        </w:rPr>
        <w:t xml:space="preserve">regulations made on </w:t>
      </w:r>
      <w:r>
        <w:rPr>
          <w:rFonts w:ascii="Times New Roman" w:hAnsi="Times New Roman"/>
          <w:sz w:val="24"/>
          <w:szCs w:val="24"/>
        </w:rPr>
        <w:t xml:space="preserve">the </w:t>
      </w:r>
      <w:r w:rsidR="000027D9" w:rsidRPr="00AB56A1">
        <w:rPr>
          <w:rFonts w:ascii="Times New Roman" w:hAnsi="Times New Roman"/>
          <w:sz w:val="24"/>
          <w:szCs w:val="24"/>
        </w:rPr>
        <w:t>EU</w:t>
      </w:r>
      <w:r>
        <w:rPr>
          <w:rFonts w:ascii="Times New Roman" w:hAnsi="Times New Roman"/>
          <w:sz w:val="24"/>
          <w:szCs w:val="24"/>
        </w:rPr>
        <w:t xml:space="preserve"> </w:t>
      </w:r>
      <w:r w:rsidR="000027D9" w:rsidRPr="00AB56A1">
        <w:rPr>
          <w:rFonts w:ascii="Times New Roman" w:hAnsi="Times New Roman"/>
          <w:sz w:val="24"/>
          <w:szCs w:val="24"/>
        </w:rPr>
        <w:t xml:space="preserve">level that all the members are subject to. The aim of this paper is an analysis of the European integration process from the point of view of the income structure within the EU from different points of view. On the one hand, it is a question of verification </w:t>
      </w:r>
      <w:r>
        <w:rPr>
          <w:rFonts w:ascii="Times New Roman" w:hAnsi="Times New Roman"/>
          <w:sz w:val="24"/>
          <w:szCs w:val="24"/>
        </w:rPr>
        <w:t xml:space="preserve">as to </w:t>
      </w:r>
      <w:r w:rsidR="000027D9" w:rsidRPr="00AB56A1">
        <w:rPr>
          <w:rFonts w:ascii="Times New Roman" w:hAnsi="Times New Roman"/>
          <w:sz w:val="24"/>
          <w:szCs w:val="24"/>
        </w:rPr>
        <w:t xml:space="preserve">whether the fact of </w:t>
      </w:r>
      <w:r>
        <w:rPr>
          <w:rFonts w:ascii="Times New Roman" w:hAnsi="Times New Roman"/>
          <w:sz w:val="24"/>
          <w:szCs w:val="24"/>
        </w:rPr>
        <w:t xml:space="preserve">the </w:t>
      </w:r>
      <w:r w:rsidR="000027D9" w:rsidRPr="00AB56A1">
        <w:rPr>
          <w:rFonts w:ascii="Times New Roman" w:hAnsi="Times New Roman"/>
          <w:sz w:val="24"/>
          <w:szCs w:val="24"/>
        </w:rPr>
        <w:t xml:space="preserve">creation of the EU and strengthening of the European cooperation leads to a so-called ‘real convergence’ at the national level, i.e. whether the differences between the countries measured with the use of </w:t>
      </w:r>
      <w:r>
        <w:rPr>
          <w:rFonts w:ascii="Times New Roman" w:hAnsi="Times New Roman"/>
          <w:sz w:val="24"/>
          <w:szCs w:val="24"/>
        </w:rPr>
        <w:t xml:space="preserve">the </w:t>
      </w:r>
      <w:r w:rsidR="000027D9" w:rsidRPr="00AB56A1">
        <w:rPr>
          <w:rFonts w:ascii="Times New Roman" w:hAnsi="Times New Roman"/>
          <w:sz w:val="24"/>
          <w:szCs w:val="24"/>
        </w:rPr>
        <w:t xml:space="preserve">mean income level decrease or increase. On the other hand, a progressing integration of labour, goods and service markets must have </w:t>
      </w:r>
      <w:r>
        <w:rPr>
          <w:rFonts w:ascii="Times New Roman" w:hAnsi="Times New Roman"/>
          <w:sz w:val="24"/>
          <w:szCs w:val="24"/>
        </w:rPr>
        <w:t xml:space="preserve">an </w:t>
      </w:r>
      <w:r w:rsidR="000027D9" w:rsidRPr="00AB56A1">
        <w:rPr>
          <w:rFonts w:ascii="Times New Roman" w:hAnsi="Times New Roman"/>
          <w:sz w:val="24"/>
          <w:szCs w:val="24"/>
        </w:rPr>
        <w:t xml:space="preserve">impact on </w:t>
      </w:r>
      <w:r>
        <w:rPr>
          <w:rFonts w:ascii="Times New Roman" w:hAnsi="Times New Roman"/>
          <w:sz w:val="24"/>
          <w:szCs w:val="24"/>
        </w:rPr>
        <w:t xml:space="preserve">the </w:t>
      </w:r>
      <w:r w:rsidR="000027D9" w:rsidRPr="00AB56A1">
        <w:rPr>
          <w:rFonts w:ascii="Times New Roman" w:hAnsi="Times New Roman"/>
          <w:sz w:val="24"/>
          <w:szCs w:val="24"/>
        </w:rPr>
        <w:t xml:space="preserve">changes in income distribution at the national economy level. An additional aim of the paper is the assessment of the European labour </w:t>
      </w:r>
      <w:r w:rsidRPr="00AB56A1">
        <w:rPr>
          <w:rFonts w:ascii="Times New Roman" w:hAnsi="Times New Roman"/>
          <w:sz w:val="24"/>
          <w:szCs w:val="24"/>
        </w:rPr>
        <w:t>market:</w:t>
      </w:r>
      <w:r w:rsidR="000027D9" w:rsidRPr="00AB56A1">
        <w:rPr>
          <w:rFonts w:ascii="Times New Roman" w:hAnsi="Times New Roman"/>
          <w:sz w:val="24"/>
          <w:szCs w:val="24"/>
        </w:rPr>
        <w:t xml:space="preserve"> to what extent it is flexible and above all to what extent the free movement of </w:t>
      </w:r>
      <w:r>
        <w:rPr>
          <w:rFonts w:ascii="Times New Roman" w:hAnsi="Times New Roman"/>
          <w:sz w:val="24"/>
          <w:szCs w:val="24"/>
        </w:rPr>
        <w:t xml:space="preserve">the </w:t>
      </w:r>
      <w:r w:rsidR="000027D9" w:rsidRPr="00AB56A1">
        <w:rPr>
          <w:rFonts w:ascii="Times New Roman" w:hAnsi="Times New Roman"/>
          <w:sz w:val="24"/>
          <w:szCs w:val="24"/>
        </w:rPr>
        <w:t>workforce is able to absorb the so-called ‘asymmetric shocks’, i.e. to alleviate differences in the course of national business cycles.</w:t>
      </w:r>
    </w:p>
    <w:p w14:paraId="737DDEE6" w14:textId="6A83276D" w:rsidR="000027D9" w:rsidRPr="00AB56A1" w:rsidRDefault="00AA03CC"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There is no doubt that the outbreak of </w:t>
      </w:r>
      <w:r w:rsidR="002C1E7C">
        <w:rPr>
          <w:rFonts w:ascii="Times New Roman" w:hAnsi="Times New Roman"/>
          <w:sz w:val="24"/>
          <w:szCs w:val="24"/>
        </w:rPr>
        <w:t xml:space="preserve">the </w:t>
      </w:r>
      <w:r w:rsidRPr="00AB56A1">
        <w:rPr>
          <w:rFonts w:ascii="Times New Roman" w:hAnsi="Times New Roman"/>
          <w:sz w:val="24"/>
          <w:szCs w:val="24"/>
        </w:rPr>
        <w:t xml:space="preserve">financial crisis in 2008 had a fundamental impact on </w:t>
      </w:r>
      <w:r w:rsidR="002C1E7C">
        <w:rPr>
          <w:rFonts w:ascii="Times New Roman" w:hAnsi="Times New Roman"/>
          <w:sz w:val="24"/>
          <w:szCs w:val="24"/>
        </w:rPr>
        <w:t xml:space="preserve">the </w:t>
      </w:r>
      <w:r w:rsidRPr="00AB56A1">
        <w:rPr>
          <w:rFonts w:ascii="Times New Roman" w:hAnsi="Times New Roman"/>
          <w:sz w:val="24"/>
          <w:szCs w:val="24"/>
        </w:rPr>
        <w:t xml:space="preserve">economic processes in the EU, including those that determine the income dynamics and in different aspects. Above all, it applies to </w:t>
      </w:r>
      <w:r w:rsidR="002C1E7C">
        <w:rPr>
          <w:rFonts w:ascii="Times New Roman" w:hAnsi="Times New Roman"/>
          <w:sz w:val="24"/>
          <w:szCs w:val="24"/>
        </w:rPr>
        <w:t xml:space="preserve">the </w:t>
      </w:r>
      <w:r w:rsidRPr="00AB56A1">
        <w:rPr>
          <w:rFonts w:ascii="Times New Roman" w:hAnsi="Times New Roman"/>
          <w:sz w:val="24"/>
          <w:szCs w:val="24"/>
        </w:rPr>
        <w:t xml:space="preserve">income convergence between countries. Until 2008, in the Southern European countries, i.e. in economies with </w:t>
      </w:r>
      <w:r w:rsidR="002C1E7C">
        <w:rPr>
          <w:rFonts w:ascii="Times New Roman" w:hAnsi="Times New Roman"/>
          <w:sz w:val="24"/>
          <w:szCs w:val="24"/>
        </w:rPr>
        <w:t xml:space="preserve">a </w:t>
      </w:r>
      <w:r w:rsidRPr="00AB56A1">
        <w:rPr>
          <w:rFonts w:ascii="Times New Roman" w:hAnsi="Times New Roman"/>
          <w:sz w:val="24"/>
          <w:szCs w:val="24"/>
        </w:rPr>
        <w:t xml:space="preserve">relatively lower development level, a </w:t>
      </w:r>
      <w:r w:rsidR="002C1E7C">
        <w:rPr>
          <w:rFonts w:ascii="Times New Roman" w:hAnsi="Times New Roman"/>
          <w:sz w:val="24"/>
          <w:szCs w:val="24"/>
        </w:rPr>
        <w:t xml:space="preserve">somewhat </w:t>
      </w:r>
      <w:r w:rsidRPr="00AB56A1">
        <w:rPr>
          <w:rFonts w:ascii="Times New Roman" w:hAnsi="Times New Roman"/>
          <w:sz w:val="24"/>
          <w:szCs w:val="24"/>
        </w:rPr>
        <w:t xml:space="preserve">dynamic GDP increase was observed which contributed </w:t>
      </w:r>
      <w:r w:rsidRPr="00AB56A1">
        <w:rPr>
          <w:rFonts w:ascii="Times New Roman" w:hAnsi="Times New Roman"/>
          <w:sz w:val="24"/>
          <w:szCs w:val="24"/>
        </w:rPr>
        <w:lastRenderedPageBreak/>
        <w:t xml:space="preserve">to </w:t>
      </w:r>
      <w:r w:rsidR="002C1E7C" w:rsidRPr="00AB56A1">
        <w:rPr>
          <w:rFonts w:ascii="Times New Roman" w:hAnsi="Times New Roman"/>
          <w:sz w:val="24"/>
          <w:szCs w:val="24"/>
        </w:rPr>
        <w:t>clos</w:t>
      </w:r>
      <w:r w:rsidR="002C1E7C">
        <w:rPr>
          <w:rFonts w:ascii="Times New Roman" w:hAnsi="Times New Roman"/>
          <w:sz w:val="24"/>
          <w:szCs w:val="24"/>
        </w:rPr>
        <w:t>ing</w:t>
      </w:r>
      <w:r w:rsidR="002C1E7C" w:rsidRPr="00AB56A1">
        <w:rPr>
          <w:rFonts w:ascii="Times New Roman" w:hAnsi="Times New Roman"/>
          <w:sz w:val="24"/>
          <w:szCs w:val="24"/>
        </w:rPr>
        <w:t xml:space="preserve"> </w:t>
      </w:r>
      <w:r w:rsidRPr="00AB56A1">
        <w:rPr>
          <w:rFonts w:ascii="Times New Roman" w:hAnsi="Times New Roman"/>
          <w:sz w:val="24"/>
          <w:szCs w:val="24"/>
        </w:rPr>
        <w:t xml:space="preserve">the income gap between Northern and Southern Europe. The outbreak of the crisis inhibited and even reversed this process – the recession was clearly deeper </w:t>
      </w:r>
      <w:r w:rsidR="00DF5378">
        <w:rPr>
          <w:rFonts w:ascii="Times New Roman" w:hAnsi="Times New Roman"/>
          <w:sz w:val="24"/>
          <w:szCs w:val="24"/>
        </w:rPr>
        <w:t>in</w:t>
      </w:r>
      <w:r w:rsidR="00DF5378" w:rsidRPr="00AB56A1">
        <w:rPr>
          <w:rFonts w:ascii="Times New Roman" w:hAnsi="Times New Roman"/>
          <w:sz w:val="24"/>
          <w:szCs w:val="24"/>
        </w:rPr>
        <w:t xml:space="preserve"> </w:t>
      </w:r>
      <w:r w:rsidRPr="00AB56A1">
        <w:rPr>
          <w:rFonts w:ascii="Times New Roman" w:hAnsi="Times New Roman"/>
          <w:sz w:val="24"/>
          <w:szCs w:val="24"/>
        </w:rPr>
        <w:t>the South and</w:t>
      </w:r>
      <w:r w:rsidR="00DF5378">
        <w:rPr>
          <w:rFonts w:ascii="Times New Roman" w:hAnsi="Times New Roman"/>
          <w:sz w:val="24"/>
          <w:szCs w:val="24"/>
        </w:rPr>
        <w:t>,</w:t>
      </w:r>
      <w:r w:rsidRPr="00AB56A1">
        <w:rPr>
          <w:rFonts w:ascii="Times New Roman" w:hAnsi="Times New Roman"/>
          <w:sz w:val="24"/>
          <w:szCs w:val="24"/>
        </w:rPr>
        <w:t xml:space="preserve"> therefore</w:t>
      </w:r>
      <w:r w:rsidR="00DF5378">
        <w:rPr>
          <w:rFonts w:ascii="Times New Roman" w:hAnsi="Times New Roman"/>
          <w:sz w:val="24"/>
          <w:szCs w:val="24"/>
        </w:rPr>
        <w:t>,</w:t>
      </w:r>
      <w:r w:rsidRPr="00AB56A1">
        <w:rPr>
          <w:rFonts w:ascii="Times New Roman" w:hAnsi="Times New Roman"/>
          <w:sz w:val="24"/>
          <w:szCs w:val="24"/>
        </w:rPr>
        <w:t xml:space="preserve"> the differences were </w:t>
      </w:r>
      <w:r w:rsidR="00DF5378">
        <w:rPr>
          <w:rFonts w:ascii="Times New Roman" w:hAnsi="Times New Roman"/>
          <w:sz w:val="24"/>
          <w:szCs w:val="24"/>
        </w:rPr>
        <w:t>widening</w:t>
      </w:r>
      <w:r w:rsidRPr="00AB56A1">
        <w:rPr>
          <w:rFonts w:ascii="Times New Roman" w:hAnsi="Times New Roman"/>
          <w:sz w:val="24"/>
          <w:szCs w:val="24"/>
        </w:rPr>
        <w:t>.</w:t>
      </w:r>
    </w:p>
    <w:p w14:paraId="3EDD0BED" w14:textId="5FF9A2CD" w:rsidR="00F97535" w:rsidRPr="00AB56A1" w:rsidRDefault="00F97535"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Another event that has significantly changed the face of </w:t>
      </w:r>
      <w:r w:rsidR="00DF5378">
        <w:rPr>
          <w:rFonts w:ascii="Times New Roman" w:hAnsi="Times New Roman"/>
          <w:sz w:val="24"/>
          <w:szCs w:val="24"/>
        </w:rPr>
        <w:t xml:space="preserve">the </w:t>
      </w:r>
      <w:r w:rsidRPr="00AB56A1">
        <w:rPr>
          <w:rFonts w:ascii="Times New Roman" w:hAnsi="Times New Roman"/>
          <w:sz w:val="24"/>
          <w:szCs w:val="24"/>
        </w:rPr>
        <w:t xml:space="preserve">EU economy is the accession of Central and Eastern </w:t>
      </w:r>
      <w:r w:rsidR="00DF5378" w:rsidRPr="00AB56A1">
        <w:rPr>
          <w:rFonts w:ascii="Times New Roman" w:hAnsi="Times New Roman"/>
          <w:sz w:val="24"/>
          <w:szCs w:val="24"/>
        </w:rPr>
        <w:t>Europ</w:t>
      </w:r>
      <w:r w:rsidR="00DF5378">
        <w:rPr>
          <w:rFonts w:ascii="Times New Roman" w:hAnsi="Times New Roman"/>
          <w:sz w:val="24"/>
          <w:szCs w:val="24"/>
        </w:rPr>
        <w:t>ean</w:t>
      </w:r>
      <w:r w:rsidR="00DF5378" w:rsidRPr="00AB56A1">
        <w:rPr>
          <w:rFonts w:ascii="Times New Roman" w:hAnsi="Times New Roman"/>
          <w:sz w:val="24"/>
          <w:szCs w:val="24"/>
        </w:rPr>
        <w:t xml:space="preserve"> </w:t>
      </w:r>
      <w:r w:rsidRPr="00AB56A1">
        <w:rPr>
          <w:rFonts w:ascii="Times New Roman" w:hAnsi="Times New Roman"/>
          <w:sz w:val="24"/>
          <w:szCs w:val="24"/>
        </w:rPr>
        <w:t xml:space="preserve">countries that jointed the EU </w:t>
      </w:r>
      <w:r w:rsidR="00865E3F" w:rsidRPr="00AB56A1">
        <w:rPr>
          <w:rFonts w:ascii="Times New Roman" w:hAnsi="Times New Roman"/>
          <w:sz w:val="24"/>
          <w:szCs w:val="24"/>
        </w:rPr>
        <w:t xml:space="preserve">within the period from </w:t>
      </w:r>
      <w:r w:rsidRPr="00AB56A1">
        <w:rPr>
          <w:rFonts w:ascii="Times New Roman" w:hAnsi="Times New Roman"/>
          <w:sz w:val="24"/>
          <w:szCs w:val="24"/>
        </w:rPr>
        <w:t xml:space="preserve">2004 to 2013 (Croatia was the last country that joined the EU in 2013). The accession of economies with </w:t>
      </w:r>
      <w:r w:rsidR="00DF5378">
        <w:rPr>
          <w:rFonts w:ascii="Times New Roman" w:hAnsi="Times New Roman"/>
          <w:sz w:val="24"/>
          <w:szCs w:val="24"/>
        </w:rPr>
        <w:t xml:space="preserve">an </w:t>
      </w:r>
      <w:r w:rsidRPr="00AB56A1">
        <w:rPr>
          <w:rFonts w:ascii="Times New Roman" w:hAnsi="Times New Roman"/>
          <w:sz w:val="24"/>
          <w:szCs w:val="24"/>
        </w:rPr>
        <w:t xml:space="preserve">essentially lower development level and significantly different historical experiences </w:t>
      </w:r>
      <w:r w:rsidR="00DF5378">
        <w:rPr>
          <w:rFonts w:ascii="Times New Roman" w:hAnsi="Times New Roman"/>
          <w:sz w:val="24"/>
          <w:szCs w:val="24"/>
        </w:rPr>
        <w:t>in</w:t>
      </w:r>
      <w:r w:rsidR="00DF5378" w:rsidRPr="00AB56A1">
        <w:rPr>
          <w:rFonts w:ascii="Times New Roman" w:hAnsi="Times New Roman"/>
          <w:sz w:val="24"/>
          <w:szCs w:val="24"/>
        </w:rPr>
        <w:t xml:space="preserve"> </w:t>
      </w:r>
      <w:r w:rsidRPr="00AB56A1">
        <w:rPr>
          <w:rFonts w:ascii="Times New Roman" w:hAnsi="Times New Roman"/>
          <w:sz w:val="24"/>
          <w:szCs w:val="24"/>
        </w:rPr>
        <w:t>the Community had to have consequences for the income distribution in the whole</w:t>
      </w:r>
      <w:r w:rsidR="00DF5378">
        <w:rPr>
          <w:rFonts w:ascii="Times New Roman" w:hAnsi="Times New Roman"/>
          <w:sz w:val="24"/>
          <w:szCs w:val="24"/>
        </w:rPr>
        <w:t xml:space="preserve"> of the</w:t>
      </w:r>
      <w:r w:rsidRPr="00AB56A1">
        <w:rPr>
          <w:rFonts w:ascii="Times New Roman" w:hAnsi="Times New Roman"/>
          <w:sz w:val="24"/>
          <w:szCs w:val="24"/>
        </w:rPr>
        <w:t xml:space="preserve"> EU and in particular countries. To a large extent thanks to membership in the EU, in many countries of Central and Eastern Europe</w:t>
      </w:r>
      <w:r w:rsidR="00DF5378">
        <w:rPr>
          <w:rFonts w:ascii="Times New Roman" w:hAnsi="Times New Roman"/>
          <w:sz w:val="24"/>
          <w:szCs w:val="24"/>
        </w:rPr>
        <w:t>,</w:t>
      </w:r>
      <w:r w:rsidRPr="00AB56A1">
        <w:rPr>
          <w:rFonts w:ascii="Times New Roman" w:hAnsi="Times New Roman"/>
          <w:sz w:val="24"/>
          <w:szCs w:val="24"/>
        </w:rPr>
        <w:t xml:space="preserve"> a faster GDP increase</w:t>
      </w:r>
      <w:r w:rsidR="00DF5378">
        <w:rPr>
          <w:rFonts w:ascii="Times New Roman" w:hAnsi="Times New Roman"/>
          <w:sz w:val="24"/>
          <w:szCs w:val="24"/>
        </w:rPr>
        <w:t>d</w:t>
      </w:r>
      <w:r w:rsidRPr="00AB56A1">
        <w:rPr>
          <w:rFonts w:ascii="Times New Roman" w:hAnsi="Times New Roman"/>
          <w:sz w:val="24"/>
          <w:szCs w:val="24"/>
        </w:rPr>
        <w:t xml:space="preserve"> rate is observed </w:t>
      </w:r>
      <w:r w:rsidR="00DF5378">
        <w:rPr>
          <w:rFonts w:ascii="Times New Roman" w:hAnsi="Times New Roman"/>
          <w:sz w:val="24"/>
          <w:szCs w:val="24"/>
        </w:rPr>
        <w:t>versus</w:t>
      </w:r>
      <w:r w:rsidRPr="00AB56A1">
        <w:rPr>
          <w:rFonts w:ascii="Times New Roman" w:hAnsi="Times New Roman"/>
          <w:sz w:val="24"/>
          <w:szCs w:val="24"/>
        </w:rPr>
        <w:t xml:space="preserve"> the so-called ‘old EU’</w:t>
      </w:r>
      <w:r w:rsidR="007005CD" w:rsidRPr="00AB56A1">
        <w:rPr>
          <w:rStyle w:val="Odwoanieprzypisudolnego"/>
          <w:rFonts w:ascii="Times New Roman" w:eastAsia="Times New Roman" w:hAnsi="Times New Roman" w:cs="Times New Roman"/>
          <w:sz w:val="24"/>
          <w:szCs w:val="24"/>
        </w:rPr>
        <w:footnoteReference w:id="3"/>
      </w:r>
      <w:r w:rsidRPr="00AB56A1">
        <w:rPr>
          <w:rFonts w:ascii="Times New Roman" w:hAnsi="Times New Roman"/>
          <w:sz w:val="24"/>
          <w:szCs w:val="24"/>
        </w:rPr>
        <w:t xml:space="preserve">, </w:t>
      </w:r>
      <w:r w:rsidR="00DF5378">
        <w:rPr>
          <w:rFonts w:ascii="Times New Roman" w:hAnsi="Times New Roman"/>
          <w:sz w:val="24"/>
          <w:szCs w:val="24"/>
        </w:rPr>
        <w:t xml:space="preserve">and </w:t>
      </w:r>
      <w:r w:rsidRPr="00AB56A1">
        <w:rPr>
          <w:rFonts w:ascii="Times New Roman" w:hAnsi="Times New Roman"/>
          <w:sz w:val="24"/>
          <w:szCs w:val="24"/>
        </w:rPr>
        <w:t xml:space="preserve">so the entire EU gradually becomes an area of decreasing differences in incomes between the countries. As could be expected, large differences in the salary level due to lifting the restrictions in </w:t>
      </w:r>
      <w:r w:rsidR="00DF5378">
        <w:rPr>
          <w:rFonts w:ascii="Times New Roman" w:hAnsi="Times New Roman"/>
          <w:sz w:val="24"/>
          <w:szCs w:val="24"/>
        </w:rPr>
        <w:t xml:space="preserve">the </w:t>
      </w:r>
      <w:r w:rsidRPr="00AB56A1">
        <w:rPr>
          <w:rFonts w:ascii="Times New Roman" w:hAnsi="Times New Roman"/>
          <w:sz w:val="24"/>
          <w:szCs w:val="24"/>
        </w:rPr>
        <w:t xml:space="preserve">mobility of </w:t>
      </w:r>
      <w:r w:rsidR="00DF5378">
        <w:rPr>
          <w:rFonts w:ascii="Times New Roman" w:hAnsi="Times New Roman"/>
          <w:sz w:val="24"/>
          <w:szCs w:val="24"/>
        </w:rPr>
        <w:t xml:space="preserve">the </w:t>
      </w:r>
      <w:r w:rsidRPr="00AB56A1">
        <w:rPr>
          <w:rFonts w:ascii="Times New Roman" w:hAnsi="Times New Roman"/>
          <w:sz w:val="24"/>
          <w:szCs w:val="24"/>
        </w:rPr>
        <w:t xml:space="preserve">workforce caused a massive migration to the West, which had </w:t>
      </w:r>
      <w:r w:rsidR="00DF5378">
        <w:rPr>
          <w:rFonts w:ascii="Times New Roman" w:hAnsi="Times New Roman"/>
          <w:sz w:val="24"/>
          <w:szCs w:val="24"/>
        </w:rPr>
        <w:t xml:space="preserve">an </w:t>
      </w:r>
      <w:r w:rsidRPr="00AB56A1">
        <w:rPr>
          <w:rFonts w:ascii="Times New Roman" w:hAnsi="Times New Roman"/>
          <w:sz w:val="24"/>
          <w:szCs w:val="24"/>
        </w:rPr>
        <w:t>impact on labour markets, both in the countries of the “old” and “new” EU.</w:t>
      </w:r>
    </w:p>
    <w:p w14:paraId="411F4C01" w14:textId="77777777" w:rsidR="004A18A0" w:rsidRPr="00AB56A1" w:rsidRDefault="004A18A0" w:rsidP="00AB05A6">
      <w:pPr>
        <w:spacing w:after="0" w:line="360" w:lineRule="auto"/>
        <w:ind w:firstLine="708"/>
        <w:jc w:val="both"/>
        <w:rPr>
          <w:rFonts w:ascii="Times New Roman" w:eastAsia="Times New Roman" w:hAnsi="Times New Roman" w:cs="Times New Roman"/>
          <w:sz w:val="24"/>
          <w:szCs w:val="24"/>
        </w:rPr>
      </w:pPr>
    </w:p>
    <w:p w14:paraId="68B39216" w14:textId="77777777" w:rsidR="004A18A0" w:rsidRPr="00AB56A1" w:rsidRDefault="004A18A0"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Income inequalities in the whole EU economy</w:t>
      </w:r>
    </w:p>
    <w:p w14:paraId="4BF83A05" w14:textId="77777777" w:rsidR="004A18A0" w:rsidRPr="00AB56A1" w:rsidRDefault="004A18A0" w:rsidP="00AB05A6">
      <w:pPr>
        <w:spacing w:after="0" w:line="360" w:lineRule="auto"/>
        <w:ind w:firstLine="708"/>
        <w:jc w:val="both"/>
        <w:rPr>
          <w:rFonts w:ascii="Times New Roman" w:eastAsia="Times New Roman" w:hAnsi="Times New Roman" w:cs="Times New Roman"/>
          <w:sz w:val="24"/>
          <w:szCs w:val="24"/>
        </w:rPr>
      </w:pPr>
    </w:p>
    <w:p w14:paraId="0CD6BE77" w14:textId="313D4CE9" w:rsidR="00A1298C" w:rsidRPr="00AB56A1" w:rsidRDefault="004A18A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 precise measurement of income inequalities gives rise to many methodological problems, since the availability of reliable data on the basis of which we calculate at least the Gini coefficient is very difficult. Two basic methods are used, i.e. basing on the data from national accounts or a survey study on </w:t>
      </w:r>
      <w:r w:rsidR="00DF5378">
        <w:rPr>
          <w:rFonts w:ascii="Times New Roman" w:hAnsi="Times New Roman"/>
          <w:sz w:val="24"/>
          <w:szCs w:val="24"/>
        </w:rPr>
        <w:t xml:space="preserve">a </w:t>
      </w:r>
      <w:r w:rsidRPr="00AB56A1">
        <w:rPr>
          <w:rFonts w:ascii="Times New Roman" w:hAnsi="Times New Roman"/>
          <w:sz w:val="24"/>
          <w:szCs w:val="24"/>
        </w:rPr>
        <w:t xml:space="preserve">representative group of households. Both methods have their limits. Naturally, the data from national accounts take into account the income from the grey economy, from abroad, from invalidity pension and from undisclosed assets to a limited </w:t>
      </w:r>
      <w:r w:rsidR="006F3E49" w:rsidRPr="00AB56A1">
        <w:rPr>
          <w:rFonts w:ascii="Times New Roman" w:hAnsi="Times New Roman"/>
          <w:sz w:val="24"/>
          <w:szCs w:val="24"/>
        </w:rPr>
        <w:t>exten</w:t>
      </w:r>
      <w:r w:rsidR="006F3E49">
        <w:rPr>
          <w:rFonts w:ascii="Times New Roman" w:hAnsi="Times New Roman"/>
          <w:sz w:val="24"/>
          <w:szCs w:val="24"/>
        </w:rPr>
        <w:t>t</w:t>
      </w:r>
      <w:r w:rsidRPr="00AB56A1">
        <w:rPr>
          <w:rFonts w:ascii="Times New Roman" w:hAnsi="Times New Roman"/>
          <w:sz w:val="24"/>
          <w:szCs w:val="24"/>
        </w:rPr>
        <w:t>. While examining the budgets of households, we receive these data but</w:t>
      </w:r>
      <w:r w:rsidR="006F3E49">
        <w:rPr>
          <w:rFonts w:ascii="Times New Roman" w:hAnsi="Times New Roman"/>
          <w:sz w:val="24"/>
          <w:szCs w:val="24"/>
        </w:rPr>
        <w:t>,</w:t>
      </w:r>
      <w:r w:rsidRPr="00AB56A1">
        <w:rPr>
          <w:rFonts w:ascii="Times New Roman" w:hAnsi="Times New Roman"/>
          <w:sz w:val="24"/>
          <w:szCs w:val="24"/>
        </w:rPr>
        <w:t xml:space="preserve"> on the other hand</w:t>
      </w:r>
      <w:r w:rsidR="006F3E49">
        <w:rPr>
          <w:rFonts w:ascii="Times New Roman" w:hAnsi="Times New Roman"/>
          <w:sz w:val="24"/>
          <w:szCs w:val="24"/>
        </w:rPr>
        <w:t>,</w:t>
      </w:r>
      <w:r w:rsidRPr="00AB56A1">
        <w:rPr>
          <w:rFonts w:ascii="Times New Roman" w:hAnsi="Times New Roman"/>
          <w:sz w:val="24"/>
          <w:szCs w:val="24"/>
        </w:rPr>
        <w:t xml:space="preserve"> we have to assume that the respondents disclose actual data to the interviewers. It raises doubts </w:t>
      </w:r>
      <w:r w:rsidR="006F3E49">
        <w:rPr>
          <w:rFonts w:ascii="Times New Roman" w:hAnsi="Times New Roman"/>
          <w:sz w:val="24"/>
          <w:szCs w:val="24"/>
        </w:rPr>
        <w:t xml:space="preserve">as to </w:t>
      </w:r>
      <w:r w:rsidRPr="00AB56A1">
        <w:rPr>
          <w:rFonts w:ascii="Times New Roman" w:hAnsi="Times New Roman"/>
          <w:sz w:val="24"/>
          <w:szCs w:val="24"/>
        </w:rPr>
        <w:t xml:space="preserve">whether the households disclose all their income, for instance those with regard to which the taxpayers use avoidance schemes and taxation squeeze. In the case of </w:t>
      </w:r>
      <w:r w:rsidR="006F3E49">
        <w:rPr>
          <w:rFonts w:ascii="Times New Roman" w:hAnsi="Times New Roman"/>
          <w:sz w:val="24"/>
          <w:szCs w:val="24"/>
        </w:rPr>
        <w:t xml:space="preserve">a </w:t>
      </w:r>
      <w:r w:rsidRPr="00AB56A1">
        <w:rPr>
          <w:rFonts w:ascii="Times New Roman" w:hAnsi="Times New Roman"/>
          <w:sz w:val="24"/>
          <w:szCs w:val="24"/>
        </w:rPr>
        <w:t xml:space="preserve">study on a community </w:t>
      </w:r>
      <w:r w:rsidR="006F3E49">
        <w:rPr>
          <w:rFonts w:ascii="Times New Roman" w:hAnsi="Times New Roman"/>
          <w:sz w:val="24"/>
          <w:szCs w:val="24"/>
        </w:rPr>
        <w:t xml:space="preserve">such </w:t>
      </w:r>
      <w:r w:rsidRPr="00AB56A1">
        <w:rPr>
          <w:rFonts w:ascii="Times New Roman" w:hAnsi="Times New Roman"/>
          <w:sz w:val="24"/>
          <w:szCs w:val="24"/>
        </w:rPr>
        <w:t xml:space="preserve">as the EU, the problems are piling up which results from the fact that we </w:t>
      </w:r>
      <w:r w:rsidR="006F3E49">
        <w:rPr>
          <w:rFonts w:ascii="Times New Roman" w:hAnsi="Times New Roman"/>
          <w:sz w:val="24"/>
          <w:szCs w:val="24"/>
        </w:rPr>
        <w:t xml:space="preserve">are </w:t>
      </w:r>
      <w:r w:rsidRPr="00AB56A1">
        <w:rPr>
          <w:rFonts w:ascii="Times New Roman" w:hAnsi="Times New Roman"/>
          <w:sz w:val="24"/>
          <w:szCs w:val="24"/>
        </w:rPr>
        <w:t>deal</w:t>
      </w:r>
      <w:r w:rsidR="006F3E49">
        <w:rPr>
          <w:rFonts w:ascii="Times New Roman" w:hAnsi="Times New Roman"/>
          <w:sz w:val="24"/>
          <w:szCs w:val="24"/>
        </w:rPr>
        <w:t>ing</w:t>
      </w:r>
      <w:r w:rsidRPr="00AB56A1">
        <w:rPr>
          <w:rFonts w:ascii="Times New Roman" w:hAnsi="Times New Roman"/>
          <w:sz w:val="24"/>
          <w:szCs w:val="24"/>
        </w:rPr>
        <w:t xml:space="preserve"> here with different countries, so we have to take in</w:t>
      </w:r>
      <w:r w:rsidR="006F3E49">
        <w:rPr>
          <w:rFonts w:ascii="Times New Roman" w:hAnsi="Times New Roman"/>
          <w:sz w:val="24"/>
          <w:szCs w:val="24"/>
        </w:rPr>
        <w:t>to</w:t>
      </w:r>
      <w:r w:rsidRPr="00AB56A1">
        <w:rPr>
          <w:rFonts w:ascii="Times New Roman" w:hAnsi="Times New Roman"/>
          <w:sz w:val="24"/>
          <w:szCs w:val="24"/>
        </w:rPr>
        <w:t xml:space="preserve"> consideration such matters as (</w:t>
      </w:r>
      <w:proofErr w:type="spellStart"/>
      <w:r w:rsidRPr="00AB56A1">
        <w:rPr>
          <w:rFonts w:ascii="Times New Roman" w:hAnsi="Times New Roman"/>
          <w:sz w:val="24"/>
          <w:szCs w:val="24"/>
        </w:rPr>
        <w:t>Brandolini</w:t>
      </w:r>
      <w:proofErr w:type="spellEnd"/>
      <w:r w:rsidRPr="00AB56A1">
        <w:rPr>
          <w:rFonts w:ascii="Times New Roman" w:hAnsi="Times New Roman"/>
          <w:sz w:val="24"/>
          <w:szCs w:val="24"/>
        </w:rPr>
        <w:t xml:space="preserve"> 2017):</w:t>
      </w:r>
    </w:p>
    <w:p w14:paraId="25559D3F" w14:textId="77777777" w:rsidR="00A1298C" w:rsidRPr="00AB56A1" w:rsidRDefault="00A1298C" w:rsidP="00AB05A6">
      <w:pPr>
        <w:pStyle w:val="Akapitzlist"/>
        <w:numPr>
          <w:ilvl w:val="0"/>
          <w:numId w:val="8"/>
        </w:numPr>
        <w:spacing w:after="0" w:line="360" w:lineRule="auto"/>
        <w:ind w:left="0" w:firstLine="851"/>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different price levels,</w:t>
      </w:r>
    </w:p>
    <w:p w14:paraId="607E2E56" w14:textId="2CCEF4C3" w:rsidR="00A1298C" w:rsidRPr="00AB56A1" w:rsidRDefault="00A1298C" w:rsidP="00AB05A6">
      <w:pPr>
        <w:pStyle w:val="Akapitzlist"/>
        <w:numPr>
          <w:ilvl w:val="0"/>
          <w:numId w:val="8"/>
        </w:numPr>
        <w:spacing w:after="0" w:line="360" w:lineRule="auto"/>
        <w:ind w:left="0" w:firstLine="851"/>
        <w:jc w:val="both"/>
        <w:rPr>
          <w:rFonts w:ascii="Times New Roman" w:eastAsia="Times New Roman" w:hAnsi="Times New Roman" w:cs="Times New Roman"/>
          <w:sz w:val="24"/>
          <w:szCs w:val="24"/>
        </w:rPr>
      </w:pPr>
      <w:r w:rsidRPr="00AB56A1">
        <w:rPr>
          <w:rFonts w:ascii="Times New Roman" w:hAnsi="Times New Roman"/>
          <w:sz w:val="24"/>
          <w:szCs w:val="24"/>
        </w:rPr>
        <w:t>different currencies and</w:t>
      </w:r>
      <w:r w:rsidR="006F3E49">
        <w:rPr>
          <w:rFonts w:ascii="Times New Roman" w:hAnsi="Times New Roman"/>
          <w:sz w:val="24"/>
          <w:szCs w:val="24"/>
        </w:rPr>
        <w:t>,</w:t>
      </w:r>
      <w:r w:rsidRPr="00AB56A1">
        <w:rPr>
          <w:rFonts w:ascii="Times New Roman" w:hAnsi="Times New Roman"/>
          <w:sz w:val="24"/>
          <w:szCs w:val="24"/>
        </w:rPr>
        <w:t xml:space="preserve"> therefore</w:t>
      </w:r>
      <w:r w:rsidR="006F3E49">
        <w:rPr>
          <w:rFonts w:ascii="Times New Roman" w:hAnsi="Times New Roman"/>
          <w:sz w:val="24"/>
          <w:szCs w:val="24"/>
        </w:rPr>
        <w:t>,</w:t>
      </w:r>
      <w:r w:rsidRPr="00AB56A1">
        <w:rPr>
          <w:rFonts w:ascii="Times New Roman" w:hAnsi="Times New Roman"/>
          <w:sz w:val="24"/>
          <w:szCs w:val="24"/>
        </w:rPr>
        <w:t xml:space="preserve"> it is necessary to apply exchange rates based on the Purchasing Power Parities that are very difficult to </w:t>
      </w:r>
      <w:r w:rsidR="006F3E49" w:rsidRPr="00AB56A1">
        <w:rPr>
          <w:rFonts w:ascii="Times New Roman" w:hAnsi="Times New Roman"/>
          <w:sz w:val="24"/>
          <w:szCs w:val="24"/>
        </w:rPr>
        <w:t>determin</w:t>
      </w:r>
      <w:r w:rsidR="006F3E49">
        <w:rPr>
          <w:rFonts w:ascii="Times New Roman" w:hAnsi="Times New Roman"/>
          <w:sz w:val="24"/>
          <w:szCs w:val="24"/>
        </w:rPr>
        <w:t>e</w:t>
      </w:r>
      <w:r w:rsidR="006F3E49" w:rsidRPr="00AB56A1">
        <w:rPr>
          <w:rFonts w:ascii="Times New Roman" w:hAnsi="Times New Roman"/>
          <w:sz w:val="24"/>
          <w:szCs w:val="24"/>
        </w:rPr>
        <w:t xml:space="preserve"> </w:t>
      </w:r>
    </w:p>
    <w:p w14:paraId="63C478C6" w14:textId="77777777" w:rsidR="00A1298C" w:rsidRPr="00AB56A1" w:rsidRDefault="00A1298C" w:rsidP="00AB05A6">
      <w:pPr>
        <w:pStyle w:val="Akapitzlist"/>
        <w:numPr>
          <w:ilvl w:val="0"/>
          <w:numId w:val="8"/>
        </w:numPr>
        <w:spacing w:after="0" w:line="360" w:lineRule="auto"/>
        <w:ind w:left="0" w:firstLine="851"/>
        <w:jc w:val="both"/>
        <w:rPr>
          <w:rFonts w:ascii="Times New Roman" w:eastAsia="Times New Roman" w:hAnsi="Times New Roman" w:cs="Times New Roman"/>
          <w:sz w:val="24"/>
          <w:szCs w:val="24"/>
        </w:rPr>
      </w:pPr>
      <w:r w:rsidRPr="00AB56A1">
        <w:rPr>
          <w:rFonts w:ascii="Times New Roman" w:hAnsi="Times New Roman"/>
          <w:sz w:val="24"/>
          <w:szCs w:val="24"/>
        </w:rPr>
        <w:t>fundamentally different basket of goods and services of households,</w:t>
      </w:r>
    </w:p>
    <w:p w14:paraId="035A347A" w14:textId="77777777" w:rsidR="004A18A0" w:rsidRPr="00AB56A1" w:rsidRDefault="00A1298C" w:rsidP="00AB05A6">
      <w:pPr>
        <w:pStyle w:val="Akapitzlist"/>
        <w:numPr>
          <w:ilvl w:val="0"/>
          <w:numId w:val="8"/>
        </w:numPr>
        <w:spacing w:after="0" w:line="360" w:lineRule="auto"/>
        <w:ind w:left="0" w:firstLine="851"/>
        <w:jc w:val="both"/>
        <w:rPr>
          <w:rFonts w:ascii="Times New Roman" w:eastAsia="Times New Roman" w:hAnsi="Times New Roman" w:cs="Times New Roman"/>
          <w:sz w:val="24"/>
          <w:szCs w:val="24"/>
        </w:rPr>
      </w:pPr>
      <w:r w:rsidRPr="00AB56A1">
        <w:rPr>
          <w:rFonts w:ascii="Times New Roman" w:hAnsi="Times New Roman"/>
          <w:sz w:val="24"/>
          <w:szCs w:val="24"/>
        </w:rPr>
        <w:t>varied levels of indirect taxes,</w:t>
      </w:r>
    </w:p>
    <w:p w14:paraId="369BD90E" w14:textId="77777777" w:rsidR="006D611B" w:rsidRPr="00AB56A1" w:rsidRDefault="006D611B" w:rsidP="00AB05A6">
      <w:pPr>
        <w:pStyle w:val="Akapitzlist"/>
        <w:numPr>
          <w:ilvl w:val="0"/>
          <w:numId w:val="8"/>
        </w:numPr>
        <w:spacing w:after="0" w:line="360" w:lineRule="auto"/>
        <w:ind w:left="0" w:firstLine="851"/>
        <w:jc w:val="both"/>
        <w:rPr>
          <w:rFonts w:ascii="Times New Roman" w:eastAsia="Times New Roman" w:hAnsi="Times New Roman" w:cs="Times New Roman"/>
          <w:sz w:val="24"/>
          <w:szCs w:val="24"/>
        </w:rPr>
      </w:pPr>
      <w:r w:rsidRPr="00AB56A1">
        <w:rPr>
          <w:rFonts w:ascii="Times New Roman" w:hAnsi="Times New Roman"/>
          <w:sz w:val="24"/>
          <w:szCs w:val="24"/>
        </w:rPr>
        <w:t>different fiscal and social security contributions systems.</w:t>
      </w:r>
    </w:p>
    <w:p w14:paraId="13E2B26C" w14:textId="6D2C519C" w:rsidR="006D611B" w:rsidRDefault="006D611B" w:rsidP="00AB05A6">
      <w:pPr>
        <w:spacing w:after="0" w:line="360" w:lineRule="auto"/>
        <w:ind w:firstLine="708"/>
        <w:jc w:val="both"/>
        <w:rPr>
          <w:rFonts w:ascii="Times New Roman" w:hAnsi="Times New Roman"/>
          <w:sz w:val="24"/>
          <w:szCs w:val="24"/>
        </w:rPr>
      </w:pPr>
      <w:r w:rsidRPr="00AB56A1">
        <w:rPr>
          <w:rFonts w:ascii="Times New Roman" w:hAnsi="Times New Roman"/>
          <w:sz w:val="24"/>
          <w:szCs w:val="24"/>
        </w:rPr>
        <w:t>The Eurostat data presented below are based on surveys of households aggregated for the entire EU – according to the concordant opinion of experts, these are data reliable on the basis of which we can draw conclusions on ongoing social and economic processes.</w:t>
      </w:r>
    </w:p>
    <w:p w14:paraId="5843C5EE" w14:textId="77777777" w:rsidR="00293A39" w:rsidRPr="00AB56A1" w:rsidRDefault="00293A39" w:rsidP="00AB05A6">
      <w:pPr>
        <w:spacing w:after="0" w:line="360" w:lineRule="auto"/>
        <w:ind w:firstLine="708"/>
        <w:jc w:val="both"/>
        <w:rPr>
          <w:rFonts w:ascii="Times New Roman" w:eastAsia="Times New Roman" w:hAnsi="Times New Roman" w:cs="Times New Roman"/>
          <w:sz w:val="24"/>
          <w:szCs w:val="24"/>
        </w:rPr>
      </w:pPr>
    </w:p>
    <w:p w14:paraId="7AE3A5E2" w14:textId="77777777" w:rsidR="004A18A0" w:rsidRPr="00AB56A1" w:rsidRDefault="004A18A0"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Table 1. Income inequalities in the EU measured with the Gini coefficient</w:t>
      </w:r>
    </w:p>
    <w:p w14:paraId="0A5FC857" w14:textId="77777777" w:rsidR="004A18A0" w:rsidRPr="00AB56A1" w:rsidRDefault="004A18A0" w:rsidP="00AB05A6">
      <w:pPr>
        <w:spacing w:after="0" w:line="360" w:lineRule="auto"/>
        <w:ind w:firstLine="708"/>
        <w:jc w:val="both"/>
        <w:rPr>
          <w:rFonts w:ascii="Times New Roman" w:eastAsia="Times New Roman" w:hAnsi="Times New Roman" w:cs="Times New Roman"/>
          <w:sz w:val="24"/>
          <w:szCs w:val="24"/>
        </w:rPr>
      </w:pPr>
      <w:r w:rsidRPr="00AB56A1">
        <w:rPr>
          <w:noProof/>
          <w:lang w:val="pl-PL" w:eastAsia="pl-PL"/>
        </w:rPr>
        <w:drawing>
          <wp:inline distT="0" distB="0" distL="0" distR="0" wp14:anchorId="3C1BA72A" wp14:editId="0BE8BB92">
            <wp:extent cx="5175156" cy="3408680"/>
            <wp:effectExtent l="0" t="0" r="698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992" cy="3423063"/>
                    </a:xfrm>
                    <a:prstGeom prst="rect">
                      <a:avLst/>
                    </a:prstGeom>
                    <a:noFill/>
                    <a:ln>
                      <a:noFill/>
                    </a:ln>
                  </pic:spPr>
                </pic:pic>
              </a:graphicData>
            </a:graphic>
          </wp:inline>
        </w:drawing>
      </w:r>
    </w:p>
    <w:p w14:paraId="17956130" w14:textId="3B0D29D5" w:rsidR="006D611B" w:rsidRDefault="006D611B" w:rsidP="00AB05A6">
      <w:pPr>
        <w:spacing w:after="0" w:line="360" w:lineRule="auto"/>
        <w:ind w:firstLine="708"/>
        <w:jc w:val="both"/>
        <w:rPr>
          <w:rFonts w:ascii="Times New Roman" w:hAnsi="Times New Roman"/>
          <w:sz w:val="20"/>
          <w:szCs w:val="20"/>
        </w:rPr>
      </w:pPr>
      <w:r w:rsidRPr="00AB56A1">
        <w:rPr>
          <w:rFonts w:ascii="Times New Roman" w:hAnsi="Times New Roman"/>
          <w:sz w:val="20"/>
          <w:szCs w:val="20"/>
        </w:rPr>
        <w:t>Source: Eurostat</w:t>
      </w:r>
    </w:p>
    <w:p w14:paraId="030A9937" w14:textId="77777777" w:rsidR="00293A39" w:rsidRPr="00AB56A1" w:rsidRDefault="00293A39" w:rsidP="00AB05A6">
      <w:pPr>
        <w:spacing w:after="0" w:line="360" w:lineRule="auto"/>
        <w:ind w:firstLine="708"/>
        <w:jc w:val="both"/>
        <w:rPr>
          <w:rFonts w:ascii="Times New Roman" w:eastAsia="Times New Roman" w:hAnsi="Times New Roman" w:cs="Times New Roman"/>
          <w:sz w:val="20"/>
          <w:szCs w:val="20"/>
        </w:rPr>
      </w:pPr>
    </w:p>
    <w:p w14:paraId="58BE2F06" w14:textId="288F01C1" w:rsidR="006D611B" w:rsidRPr="00AB56A1" w:rsidRDefault="006D611B"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Alongside the data that confirm our intuition: low inequities in Scandinavia and higher in Anglo-Saxon countries, such as the UK and Ireland, at least two regularities require a commentary. Firstly, the inequality index for the entire EU is surprisingly low, much lower </w:t>
      </w:r>
      <w:r w:rsidR="006F3E49" w:rsidRPr="00AB56A1">
        <w:rPr>
          <w:rFonts w:ascii="Times New Roman" w:hAnsi="Times New Roman"/>
          <w:sz w:val="24"/>
          <w:szCs w:val="24"/>
        </w:rPr>
        <w:t>than</w:t>
      </w:r>
      <w:r w:rsidRPr="00AB56A1">
        <w:rPr>
          <w:rFonts w:ascii="Times New Roman" w:hAnsi="Times New Roman"/>
          <w:sz w:val="24"/>
          <w:szCs w:val="24"/>
        </w:rPr>
        <w:t xml:space="preserve"> in the US, China, India, Brazil or Nigeria that are examples of other economies with </w:t>
      </w:r>
      <w:r w:rsidR="0085490C">
        <w:rPr>
          <w:rFonts w:ascii="Times New Roman" w:hAnsi="Times New Roman"/>
          <w:sz w:val="24"/>
          <w:szCs w:val="24"/>
        </w:rPr>
        <w:t xml:space="preserve">many </w:t>
      </w:r>
      <w:r w:rsidRPr="00AB56A1">
        <w:rPr>
          <w:rFonts w:ascii="Times New Roman" w:hAnsi="Times New Roman"/>
          <w:sz w:val="24"/>
          <w:szCs w:val="24"/>
        </w:rPr>
        <w:t>million</w:t>
      </w:r>
      <w:r w:rsidR="0085490C">
        <w:rPr>
          <w:rFonts w:ascii="Times New Roman" w:hAnsi="Times New Roman"/>
          <w:sz w:val="24"/>
          <w:szCs w:val="24"/>
        </w:rPr>
        <w:t>s</w:t>
      </w:r>
      <w:r w:rsidRPr="00AB56A1">
        <w:rPr>
          <w:rFonts w:ascii="Times New Roman" w:hAnsi="Times New Roman"/>
          <w:sz w:val="24"/>
          <w:szCs w:val="24"/>
        </w:rPr>
        <w:t xml:space="preserve"> </w:t>
      </w:r>
      <w:r w:rsidR="0085490C">
        <w:rPr>
          <w:rFonts w:ascii="Times New Roman" w:hAnsi="Times New Roman"/>
          <w:sz w:val="24"/>
          <w:szCs w:val="24"/>
        </w:rPr>
        <w:t xml:space="preserve">of </w:t>
      </w:r>
      <w:r w:rsidRPr="00AB56A1">
        <w:rPr>
          <w:rFonts w:ascii="Times New Roman" w:hAnsi="Times New Roman"/>
          <w:sz w:val="24"/>
          <w:szCs w:val="24"/>
        </w:rPr>
        <w:t xml:space="preserve">people. After all, on </w:t>
      </w:r>
      <w:r w:rsidR="0085490C">
        <w:rPr>
          <w:rFonts w:ascii="Times New Roman" w:hAnsi="Times New Roman"/>
          <w:sz w:val="24"/>
          <w:szCs w:val="24"/>
        </w:rPr>
        <w:t xml:space="preserve">the </w:t>
      </w:r>
      <w:r w:rsidRPr="00AB56A1">
        <w:rPr>
          <w:rFonts w:ascii="Times New Roman" w:hAnsi="Times New Roman"/>
          <w:sz w:val="24"/>
          <w:szCs w:val="24"/>
        </w:rPr>
        <w:t>one hand</w:t>
      </w:r>
      <w:r w:rsidR="0085490C">
        <w:rPr>
          <w:rFonts w:ascii="Times New Roman" w:hAnsi="Times New Roman"/>
          <w:sz w:val="24"/>
          <w:szCs w:val="24"/>
        </w:rPr>
        <w:t>,</w:t>
      </w:r>
      <w:r w:rsidRPr="00AB56A1">
        <w:rPr>
          <w:rFonts w:ascii="Times New Roman" w:hAnsi="Times New Roman"/>
          <w:sz w:val="24"/>
          <w:szCs w:val="24"/>
        </w:rPr>
        <w:t xml:space="preserve"> the EU-member Luxembourg </w:t>
      </w:r>
      <w:r w:rsidR="0085490C">
        <w:rPr>
          <w:rFonts w:ascii="Times New Roman" w:hAnsi="Times New Roman"/>
          <w:sz w:val="24"/>
          <w:szCs w:val="24"/>
        </w:rPr>
        <w:t>has a</w:t>
      </w:r>
      <w:r w:rsidR="0085490C" w:rsidRPr="00AB56A1">
        <w:rPr>
          <w:rFonts w:ascii="Times New Roman" w:hAnsi="Times New Roman"/>
          <w:sz w:val="24"/>
          <w:szCs w:val="24"/>
        </w:rPr>
        <w:t xml:space="preserve"> </w:t>
      </w:r>
      <w:r w:rsidRPr="00AB56A1">
        <w:rPr>
          <w:rFonts w:ascii="Times New Roman" w:hAnsi="Times New Roman"/>
          <w:sz w:val="24"/>
          <w:szCs w:val="24"/>
        </w:rPr>
        <w:t>GDP pc PPP of EUR 76</w:t>
      </w:r>
      <w:r w:rsidR="0085490C">
        <w:rPr>
          <w:rFonts w:ascii="Times New Roman" w:hAnsi="Times New Roman"/>
          <w:sz w:val="24"/>
          <w:szCs w:val="24"/>
        </w:rPr>
        <w:t>,000</w:t>
      </w:r>
      <w:r w:rsidR="00205BDB" w:rsidRPr="00AB56A1">
        <w:rPr>
          <w:rFonts w:ascii="Times New Roman" w:hAnsi="Times New Roman"/>
          <w:sz w:val="24"/>
          <w:szCs w:val="24"/>
        </w:rPr>
        <w:t xml:space="preserve"> </w:t>
      </w:r>
      <w:r w:rsidRPr="00AB56A1">
        <w:rPr>
          <w:rFonts w:ascii="Times New Roman" w:hAnsi="Times New Roman"/>
          <w:sz w:val="24"/>
          <w:szCs w:val="24"/>
        </w:rPr>
        <w:t>and</w:t>
      </w:r>
      <w:r w:rsidR="0085490C">
        <w:rPr>
          <w:rFonts w:ascii="Times New Roman" w:hAnsi="Times New Roman"/>
          <w:sz w:val="24"/>
          <w:szCs w:val="24"/>
        </w:rPr>
        <w:t>,</w:t>
      </w:r>
      <w:r w:rsidRPr="00AB56A1">
        <w:rPr>
          <w:rFonts w:ascii="Times New Roman" w:hAnsi="Times New Roman"/>
          <w:sz w:val="24"/>
          <w:szCs w:val="24"/>
        </w:rPr>
        <w:t xml:space="preserve"> on the other hand</w:t>
      </w:r>
      <w:r w:rsidR="0085490C">
        <w:rPr>
          <w:rFonts w:ascii="Times New Roman" w:hAnsi="Times New Roman"/>
          <w:sz w:val="24"/>
          <w:szCs w:val="24"/>
        </w:rPr>
        <w:t xml:space="preserve">, </w:t>
      </w:r>
      <w:r w:rsidRPr="00AB56A1">
        <w:rPr>
          <w:rFonts w:ascii="Times New Roman" w:hAnsi="Times New Roman"/>
          <w:sz w:val="24"/>
          <w:szCs w:val="24"/>
        </w:rPr>
        <w:t xml:space="preserve">Bulgaria </w:t>
      </w:r>
      <w:r w:rsidR="0085490C">
        <w:rPr>
          <w:rFonts w:ascii="Times New Roman" w:hAnsi="Times New Roman"/>
          <w:sz w:val="24"/>
          <w:szCs w:val="24"/>
        </w:rPr>
        <w:t>has a</w:t>
      </w:r>
      <w:r w:rsidR="0085490C" w:rsidRPr="00AB56A1">
        <w:rPr>
          <w:rFonts w:ascii="Times New Roman" w:hAnsi="Times New Roman"/>
          <w:sz w:val="24"/>
          <w:szCs w:val="24"/>
        </w:rPr>
        <w:t xml:space="preserve"> </w:t>
      </w:r>
      <w:r w:rsidRPr="00AB56A1">
        <w:rPr>
          <w:rFonts w:ascii="Times New Roman" w:hAnsi="Times New Roman"/>
          <w:sz w:val="24"/>
          <w:szCs w:val="24"/>
        </w:rPr>
        <w:t>national income of EUR 15</w:t>
      </w:r>
      <w:r w:rsidR="0085490C">
        <w:rPr>
          <w:rFonts w:ascii="Times New Roman" w:hAnsi="Times New Roman"/>
          <w:sz w:val="24"/>
          <w:szCs w:val="24"/>
        </w:rPr>
        <w:t>,000</w:t>
      </w:r>
      <w:r w:rsidRPr="00AB56A1">
        <w:rPr>
          <w:rFonts w:ascii="Times New Roman" w:hAnsi="Times New Roman"/>
          <w:sz w:val="24"/>
          <w:szCs w:val="24"/>
        </w:rPr>
        <w:t xml:space="preserve">, so there is a fivefold difference between them. To compare, in the US, the richest state is Massachusetts </w:t>
      </w:r>
      <w:r w:rsidRPr="00AB56A1">
        <w:rPr>
          <w:rFonts w:ascii="Times New Roman" w:hAnsi="Times New Roman"/>
          <w:sz w:val="24"/>
          <w:szCs w:val="24"/>
        </w:rPr>
        <w:lastRenderedPageBreak/>
        <w:t>with GDP pc. of USD 71</w:t>
      </w:r>
      <w:r w:rsidR="0085490C">
        <w:rPr>
          <w:rFonts w:ascii="Times New Roman" w:hAnsi="Times New Roman"/>
          <w:sz w:val="24"/>
          <w:szCs w:val="24"/>
        </w:rPr>
        <w:t>,000</w:t>
      </w:r>
      <w:r w:rsidRPr="00AB56A1">
        <w:rPr>
          <w:rFonts w:ascii="Times New Roman" w:hAnsi="Times New Roman"/>
          <w:sz w:val="24"/>
          <w:szCs w:val="24"/>
        </w:rPr>
        <w:t xml:space="preserve">, while the poorest one is Mississippi with </w:t>
      </w:r>
      <w:r w:rsidR="0085490C">
        <w:rPr>
          <w:rFonts w:ascii="Times New Roman" w:hAnsi="Times New Roman"/>
          <w:sz w:val="24"/>
          <w:szCs w:val="24"/>
        </w:rPr>
        <w:t>an</w:t>
      </w:r>
      <w:r w:rsidR="0085490C" w:rsidRPr="00AB56A1">
        <w:rPr>
          <w:rFonts w:ascii="Times New Roman" w:hAnsi="Times New Roman"/>
          <w:sz w:val="24"/>
          <w:szCs w:val="24"/>
        </w:rPr>
        <w:t xml:space="preserve"> </w:t>
      </w:r>
      <w:r w:rsidRPr="00AB56A1">
        <w:rPr>
          <w:rFonts w:ascii="Times New Roman" w:hAnsi="Times New Roman"/>
          <w:sz w:val="24"/>
          <w:szCs w:val="24"/>
        </w:rPr>
        <w:t xml:space="preserve">income per capita </w:t>
      </w:r>
      <w:r w:rsidR="0085490C">
        <w:rPr>
          <w:rFonts w:ascii="Times New Roman" w:hAnsi="Times New Roman"/>
          <w:sz w:val="24"/>
          <w:szCs w:val="24"/>
        </w:rPr>
        <w:t>of</w:t>
      </w:r>
      <w:r w:rsidRPr="00AB56A1">
        <w:rPr>
          <w:rFonts w:ascii="Times New Roman" w:hAnsi="Times New Roman"/>
          <w:sz w:val="24"/>
          <w:szCs w:val="24"/>
        </w:rPr>
        <w:t xml:space="preserve"> half</w:t>
      </w:r>
      <w:r w:rsidR="0085490C">
        <w:rPr>
          <w:rFonts w:ascii="Times New Roman" w:hAnsi="Times New Roman"/>
          <w:sz w:val="24"/>
          <w:szCs w:val="24"/>
        </w:rPr>
        <w:t xml:space="preserve"> that of Massachusetts</w:t>
      </w:r>
      <w:r w:rsidRPr="00AB56A1">
        <w:rPr>
          <w:rFonts w:ascii="Times New Roman" w:hAnsi="Times New Roman"/>
          <w:sz w:val="24"/>
          <w:szCs w:val="24"/>
        </w:rPr>
        <w:t xml:space="preserve"> (USD 35</w:t>
      </w:r>
      <w:r w:rsidR="0085490C">
        <w:rPr>
          <w:rFonts w:ascii="Times New Roman" w:hAnsi="Times New Roman"/>
          <w:sz w:val="24"/>
          <w:szCs w:val="24"/>
        </w:rPr>
        <w:t>,000</w:t>
      </w:r>
      <w:r w:rsidR="00386E8E" w:rsidRPr="00AB56A1">
        <w:rPr>
          <w:rFonts w:ascii="Times New Roman" w:hAnsi="Times New Roman"/>
          <w:sz w:val="24"/>
          <w:szCs w:val="24"/>
        </w:rPr>
        <w:t>)</w:t>
      </w:r>
      <w:r w:rsidRPr="00AB56A1">
        <w:rPr>
          <w:rFonts w:ascii="Times New Roman" w:hAnsi="Times New Roman"/>
          <w:sz w:val="24"/>
          <w:szCs w:val="24"/>
        </w:rPr>
        <w:t>.</w:t>
      </w:r>
      <w:r w:rsidR="00C86C41" w:rsidRPr="00AB56A1">
        <w:rPr>
          <w:rStyle w:val="Odwoanieprzypisudolnego"/>
          <w:rFonts w:ascii="Times New Roman" w:eastAsia="Times New Roman" w:hAnsi="Times New Roman" w:cs="Times New Roman"/>
          <w:sz w:val="24"/>
          <w:szCs w:val="24"/>
        </w:rPr>
        <w:footnoteReference w:id="4"/>
      </w:r>
      <w:r w:rsidRPr="00AB56A1">
        <w:rPr>
          <w:rFonts w:ascii="Times New Roman" w:hAnsi="Times New Roman"/>
          <w:sz w:val="24"/>
          <w:szCs w:val="24"/>
        </w:rPr>
        <w:t xml:space="preserve"> </w:t>
      </w:r>
    </w:p>
    <w:p w14:paraId="131EE90D" w14:textId="04E1D8E1" w:rsidR="00082573" w:rsidRPr="00AB56A1" w:rsidRDefault="00C01FB8"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Another surprising regularity is a relatively constant level of income inequalities measured for the entire EU. From 2005 to 2017, the Gini coefficient was practically unchangeable for the whole </w:t>
      </w:r>
      <w:r w:rsidR="0085490C">
        <w:rPr>
          <w:rFonts w:ascii="Times New Roman" w:hAnsi="Times New Roman"/>
          <w:sz w:val="24"/>
          <w:szCs w:val="24"/>
        </w:rPr>
        <w:t xml:space="preserve">of the </w:t>
      </w:r>
      <w:r w:rsidRPr="00AB56A1">
        <w:rPr>
          <w:rFonts w:ascii="Times New Roman" w:hAnsi="Times New Roman"/>
          <w:sz w:val="24"/>
          <w:szCs w:val="24"/>
        </w:rPr>
        <w:t xml:space="preserve">EU, which may </w:t>
      </w:r>
      <w:r w:rsidR="0085490C">
        <w:rPr>
          <w:rFonts w:ascii="Times New Roman" w:hAnsi="Times New Roman"/>
          <w:sz w:val="24"/>
          <w:szCs w:val="24"/>
        </w:rPr>
        <w:t>be surprising</w:t>
      </w:r>
      <w:r w:rsidRPr="00AB56A1">
        <w:rPr>
          <w:rFonts w:ascii="Times New Roman" w:hAnsi="Times New Roman"/>
          <w:sz w:val="24"/>
          <w:szCs w:val="24"/>
        </w:rPr>
        <w:t xml:space="preserve">, since that was </w:t>
      </w:r>
      <w:r w:rsidR="0085490C">
        <w:rPr>
          <w:rFonts w:ascii="Times New Roman" w:hAnsi="Times New Roman"/>
          <w:sz w:val="24"/>
          <w:szCs w:val="24"/>
        </w:rPr>
        <w:t xml:space="preserve">a </w:t>
      </w:r>
      <w:r w:rsidRPr="00AB56A1">
        <w:rPr>
          <w:rFonts w:ascii="Times New Roman" w:hAnsi="Times New Roman"/>
          <w:sz w:val="24"/>
          <w:szCs w:val="24"/>
        </w:rPr>
        <w:t xml:space="preserve">period of economic </w:t>
      </w:r>
      <w:r w:rsidR="0085490C">
        <w:rPr>
          <w:rFonts w:ascii="Times New Roman" w:hAnsi="Times New Roman"/>
          <w:sz w:val="24"/>
          <w:szCs w:val="24"/>
        </w:rPr>
        <w:t>activity</w:t>
      </w:r>
      <w:r w:rsidR="0085490C" w:rsidRPr="00AB56A1">
        <w:rPr>
          <w:rFonts w:ascii="Times New Roman" w:hAnsi="Times New Roman"/>
          <w:sz w:val="24"/>
          <w:szCs w:val="24"/>
        </w:rPr>
        <w:t xml:space="preserve"> </w:t>
      </w:r>
      <w:r w:rsidRPr="00AB56A1">
        <w:rPr>
          <w:rFonts w:ascii="Times New Roman" w:hAnsi="Times New Roman"/>
          <w:sz w:val="24"/>
          <w:szCs w:val="24"/>
        </w:rPr>
        <w:t xml:space="preserve">that should have basically changed the income distribution within the Community. I am talking about the accession of new members (Romania and Bulgaria joined the EU in 2007) with much lower income compared to the so-called ‘old EU’. Another factor that should have led to </w:t>
      </w:r>
      <w:r w:rsidR="0085490C">
        <w:rPr>
          <w:rFonts w:ascii="Times New Roman" w:hAnsi="Times New Roman"/>
          <w:sz w:val="24"/>
          <w:szCs w:val="24"/>
        </w:rPr>
        <w:t xml:space="preserve">the </w:t>
      </w:r>
      <w:r w:rsidRPr="00AB56A1">
        <w:rPr>
          <w:rFonts w:ascii="Times New Roman" w:hAnsi="Times New Roman"/>
          <w:sz w:val="24"/>
          <w:szCs w:val="24"/>
        </w:rPr>
        <w:t xml:space="preserve">change of income distribution is the course of </w:t>
      </w:r>
      <w:r w:rsidR="0085490C">
        <w:rPr>
          <w:rFonts w:ascii="Times New Roman" w:hAnsi="Times New Roman"/>
          <w:sz w:val="24"/>
          <w:szCs w:val="24"/>
        </w:rPr>
        <w:t xml:space="preserve">the </w:t>
      </w:r>
      <w:r w:rsidRPr="00AB56A1">
        <w:rPr>
          <w:rFonts w:ascii="Times New Roman" w:hAnsi="Times New Roman"/>
          <w:sz w:val="24"/>
          <w:szCs w:val="24"/>
        </w:rPr>
        <w:t xml:space="preserve">financial crisis in the EU. After all, the deepest recession was observed in relatively poorer economies of the EU (Greece, Portugal, Spain, Baltic countries), in combination with </w:t>
      </w:r>
      <w:r w:rsidR="0085490C">
        <w:rPr>
          <w:rFonts w:ascii="Times New Roman" w:hAnsi="Times New Roman"/>
          <w:sz w:val="24"/>
          <w:szCs w:val="24"/>
        </w:rPr>
        <w:t xml:space="preserve">the </w:t>
      </w:r>
      <w:r w:rsidRPr="00AB56A1">
        <w:rPr>
          <w:rFonts w:ascii="Times New Roman" w:hAnsi="Times New Roman"/>
          <w:sz w:val="24"/>
          <w:szCs w:val="24"/>
        </w:rPr>
        <w:t>accession of countries with a low development level</w:t>
      </w:r>
      <w:r w:rsidR="0085490C">
        <w:rPr>
          <w:rFonts w:ascii="Times New Roman" w:hAnsi="Times New Roman"/>
          <w:sz w:val="24"/>
          <w:szCs w:val="24"/>
        </w:rPr>
        <w:t xml:space="preserve"> and</w:t>
      </w:r>
      <w:r w:rsidRPr="00AB56A1">
        <w:rPr>
          <w:rFonts w:ascii="Times New Roman" w:hAnsi="Times New Roman"/>
          <w:sz w:val="24"/>
          <w:szCs w:val="24"/>
        </w:rPr>
        <w:t xml:space="preserve"> should have had </w:t>
      </w:r>
      <w:r w:rsidR="0085490C">
        <w:rPr>
          <w:rFonts w:ascii="Times New Roman" w:hAnsi="Times New Roman"/>
          <w:sz w:val="24"/>
          <w:szCs w:val="24"/>
        </w:rPr>
        <w:t xml:space="preserve">an </w:t>
      </w:r>
      <w:r w:rsidRPr="00AB56A1">
        <w:rPr>
          <w:rFonts w:ascii="Times New Roman" w:hAnsi="Times New Roman"/>
          <w:sz w:val="24"/>
          <w:szCs w:val="24"/>
        </w:rPr>
        <w:t xml:space="preserve">impact on </w:t>
      </w:r>
      <w:r w:rsidR="0085490C">
        <w:rPr>
          <w:rFonts w:ascii="Times New Roman" w:hAnsi="Times New Roman"/>
          <w:sz w:val="24"/>
          <w:szCs w:val="24"/>
        </w:rPr>
        <w:t xml:space="preserve">the </w:t>
      </w:r>
      <w:r w:rsidRPr="00AB56A1">
        <w:rPr>
          <w:rFonts w:ascii="Times New Roman" w:hAnsi="Times New Roman"/>
          <w:sz w:val="24"/>
          <w:szCs w:val="24"/>
        </w:rPr>
        <w:t xml:space="preserve">increase of </w:t>
      </w:r>
      <w:r w:rsidR="0085490C">
        <w:rPr>
          <w:rFonts w:ascii="Times New Roman" w:hAnsi="Times New Roman"/>
          <w:sz w:val="24"/>
          <w:szCs w:val="24"/>
        </w:rPr>
        <w:t xml:space="preserve">the </w:t>
      </w:r>
      <w:r w:rsidRPr="00AB56A1">
        <w:rPr>
          <w:rFonts w:ascii="Times New Roman" w:hAnsi="Times New Roman"/>
          <w:sz w:val="24"/>
          <w:szCs w:val="24"/>
        </w:rPr>
        <w:t xml:space="preserve">inequality indexes </w:t>
      </w:r>
      <w:r w:rsidR="0085490C">
        <w:rPr>
          <w:rFonts w:ascii="Times New Roman" w:hAnsi="Times New Roman"/>
          <w:sz w:val="24"/>
          <w:szCs w:val="24"/>
        </w:rPr>
        <w:t xml:space="preserve">as </w:t>
      </w:r>
      <w:r w:rsidRPr="00AB56A1">
        <w:rPr>
          <w:rFonts w:ascii="Times New Roman" w:hAnsi="Times New Roman"/>
          <w:sz w:val="24"/>
          <w:szCs w:val="24"/>
        </w:rPr>
        <w:t xml:space="preserve">measured at the level of the whole </w:t>
      </w:r>
      <w:r w:rsidR="0085490C">
        <w:rPr>
          <w:rFonts w:ascii="Times New Roman" w:hAnsi="Times New Roman"/>
          <w:sz w:val="24"/>
          <w:szCs w:val="24"/>
        </w:rPr>
        <w:t>EU</w:t>
      </w:r>
      <w:r w:rsidRPr="00AB56A1">
        <w:rPr>
          <w:rFonts w:ascii="Times New Roman" w:hAnsi="Times New Roman"/>
          <w:sz w:val="24"/>
          <w:szCs w:val="24"/>
        </w:rPr>
        <w:t xml:space="preserve">. It is even more surprising when it turns out that changes in the income distribution are clearly visible in particular countries – see the data in the table </w:t>
      </w:r>
      <w:r w:rsidR="0085490C">
        <w:rPr>
          <w:rFonts w:ascii="Times New Roman" w:hAnsi="Times New Roman"/>
          <w:sz w:val="24"/>
          <w:szCs w:val="24"/>
        </w:rPr>
        <w:t>shown herein</w:t>
      </w:r>
      <w:r w:rsidRPr="00AB56A1">
        <w:rPr>
          <w:rFonts w:ascii="Times New Roman" w:hAnsi="Times New Roman"/>
          <w:sz w:val="24"/>
          <w:szCs w:val="24"/>
        </w:rPr>
        <w:t>above.</w:t>
      </w:r>
    </w:p>
    <w:p w14:paraId="23DF5278" w14:textId="5DF912A9" w:rsidR="002616A8" w:rsidRPr="00AB56A1" w:rsidRDefault="00082573"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 moderate income inequalities level at the Community level should be explained by </w:t>
      </w:r>
      <w:r w:rsidR="0085490C">
        <w:rPr>
          <w:rFonts w:ascii="Times New Roman" w:hAnsi="Times New Roman"/>
          <w:sz w:val="24"/>
          <w:szCs w:val="24"/>
        </w:rPr>
        <w:t xml:space="preserve">the </w:t>
      </w:r>
      <w:r w:rsidRPr="00AB56A1">
        <w:rPr>
          <w:rFonts w:ascii="Times New Roman" w:hAnsi="Times New Roman"/>
          <w:sz w:val="24"/>
          <w:szCs w:val="24"/>
        </w:rPr>
        <w:t xml:space="preserve">importance of particular economies measured with their contribution to the EU gross product. </w:t>
      </w:r>
      <w:r w:rsidR="00C71A42">
        <w:rPr>
          <w:rFonts w:ascii="Times New Roman" w:hAnsi="Times New Roman"/>
          <w:sz w:val="24"/>
          <w:szCs w:val="24"/>
        </w:rPr>
        <w:t>The size</w:t>
      </w:r>
      <w:r w:rsidR="00C71A42" w:rsidRPr="00AB56A1">
        <w:rPr>
          <w:rFonts w:ascii="Times New Roman" w:hAnsi="Times New Roman"/>
          <w:sz w:val="24"/>
          <w:szCs w:val="24"/>
        </w:rPr>
        <w:t xml:space="preserve"> </w:t>
      </w:r>
      <w:r w:rsidRPr="00AB56A1">
        <w:rPr>
          <w:rFonts w:ascii="Times New Roman" w:hAnsi="Times New Roman"/>
          <w:sz w:val="24"/>
          <w:szCs w:val="24"/>
        </w:rPr>
        <w:t>of economies of the countries where the GDP pc deviates significantly from the EU mean (</w:t>
      </w:r>
      <w:r w:rsidR="00C71A42">
        <w:rPr>
          <w:rFonts w:ascii="Times New Roman" w:hAnsi="Times New Roman"/>
          <w:sz w:val="24"/>
          <w:szCs w:val="24"/>
        </w:rPr>
        <w:t>positive</w:t>
      </w:r>
      <w:r w:rsidRPr="00AB56A1">
        <w:rPr>
          <w:rFonts w:ascii="Times New Roman" w:hAnsi="Times New Roman"/>
          <w:sz w:val="24"/>
          <w:szCs w:val="24"/>
        </w:rPr>
        <w:t xml:space="preserve"> in the case of Luxembourg</w:t>
      </w:r>
      <w:r w:rsidR="00C71A42">
        <w:rPr>
          <w:rFonts w:ascii="Times New Roman" w:hAnsi="Times New Roman"/>
          <w:sz w:val="24"/>
          <w:szCs w:val="24"/>
        </w:rPr>
        <w:t xml:space="preserve"> and negative</w:t>
      </w:r>
      <w:r w:rsidRPr="00AB56A1">
        <w:rPr>
          <w:rFonts w:ascii="Times New Roman" w:hAnsi="Times New Roman"/>
          <w:sz w:val="24"/>
          <w:szCs w:val="24"/>
        </w:rPr>
        <w:t xml:space="preserve"> in the case of Bulgaria) are so small that they have</w:t>
      </w:r>
      <w:r w:rsidR="00C71A42">
        <w:rPr>
          <w:rFonts w:ascii="Times New Roman" w:hAnsi="Times New Roman"/>
          <w:sz w:val="24"/>
          <w:szCs w:val="24"/>
        </w:rPr>
        <w:t xml:space="preserve"> rather</w:t>
      </w:r>
      <w:r w:rsidRPr="00AB56A1">
        <w:rPr>
          <w:rFonts w:ascii="Times New Roman" w:hAnsi="Times New Roman"/>
          <w:sz w:val="24"/>
          <w:szCs w:val="24"/>
        </w:rPr>
        <w:t xml:space="preserve"> little impact on the EU index, but in the countries with the greatest importance in the EU economy (Germany, France), the inequalities are observed at a relatively low level </w:t>
      </w:r>
      <w:r w:rsidR="00C71A42">
        <w:rPr>
          <w:rFonts w:ascii="Times New Roman" w:hAnsi="Times New Roman"/>
          <w:sz w:val="24"/>
          <w:szCs w:val="24"/>
        </w:rPr>
        <w:t>(</w:t>
      </w:r>
      <w:proofErr w:type="spellStart"/>
      <w:r w:rsidRPr="00AB56A1">
        <w:rPr>
          <w:rFonts w:ascii="Times New Roman" w:hAnsi="Times New Roman"/>
          <w:sz w:val="24"/>
          <w:szCs w:val="24"/>
        </w:rPr>
        <w:t>Fredriksen</w:t>
      </w:r>
      <w:proofErr w:type="spellEnd"/>
      <w:r w:rsidRPr="00AB56A1">
        <w:rPr>
          <w:rFonts w:ascii="Times New Roman" w:hAnsi="Times New Roman"/>
          <w:sz w:val="24"/>
          <w:szCs w:val="24"/>
        </w:rPr>
        <w:t xml:space="preserve"> 2012).</w:t>
      </w:r>
    </w:p>
    <w:p w14:paraId="496B88A8" w14:textId="374DBAD5" w:rsidR="002616A8" w:rsidRPr="00AB56A1" w:rsidRDefault="002616A8"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However, the fact that</w:t>
      </w:r>
      <w:r w:rsidR="00C71A42">
        <w:rPr>
          <w:rFonts w:ascii="Times New Roman" w:hAnsi="Times New Roman"/>
          <w:sz w:val="24"/>
          <w:szCs w:val="24"/>
        </w:rPr>
        <w:t>,</w:t>
      </w:r>
      <w:r w:rsidRPr="00AB56A1">
        <w:rPr>
          <w:rFonts w:ascii="Times New Roman" w:hAnsi="Times New Roman"/>
          <w:sz w:val="24"/>
          <w:szCs w:val="24"/>
        </w:rPr>
        <w:t xml:space="preserve"> despite significant changes in the EU economy structure, inequalities measured for the entire EU </w:t>
      </w:r>
      <w:r w:rsidR="00C71A42">
        <w:rPr>
          <w:rFonts w:ascii="Times New Roman" w:hAnsi="Times New Roman"/>
          <w:sz w:val="24"/>
          <w:szCs w:val="24"/>
        </w:rPr>
        <w:t>remain</w:t>
      </w:r>
      <w:r w:rsidR="00C71A42" w:rsidRPr="00AB56A1">
        <w:rPr>
          <w:rFonts w:ascii="Times New Roman" w:hAnsi="Times New Roman"/>
          <w:sz w:val="24"/>
          <w:szCs w:val="24"/>
        </w:rPr>
        <w:t xml:space="preserve"> </w:t>
      </w:r>
      <w:r w:rsidRPr="00AB56A1">
        <w:rPr>
          <w:rFonts w:ascii="Times New Roman" w:hAnsi="Times New Roman"/>
          <w:sz w:val="24"/>
          <w:szCs w:val="24"/>
        </w:rPr>
        <w:t>unchanged may be explained by processes that occur simultaneously and have an opposite level for the income distribution, so the general income distribution indexes stay at a constant level. We need to remember that:</w:t>
      </w:r>
    </w:p>
    <w:p w14:paraId="3D665E50" w14:textId="77777777" w:rsidR="002616A8" w:rsidRPr="00AB56A1" w:rsidRDefault="002616A8" w:rsidP="00AB05A6">
      <w:pPr>
        <w:pStyle w:val="Akapitzlist"/>
        <w:numPr>
          <w:ilvl w:val="0"/>
          <w:numId w:val="10"/>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poorer countries (new EU-members) develop faster that the EU mean, which reduces the inequalities for the EU,</w:t>
      </w:r>
    </w:p>
    <w:p w14:paraId="1B3CEF44" w14:textId="77777777" w:rsidR="00AF45FF" w:rsidRPr="00AB56A1" w:rsidRDefault="00AF45FF" w:rsidP="00AB05A6">
      <w:pPr>
        <w:pStyle w:val="Akapitzlist"/>
        <w:numPr>
          <w:ilvl w:val="0"/>
          <w:numId w:val="10"/>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as a result of the financial crisis, a part of old EU countries (Greece, Spain, Portugal) experience a deep recession and not </w:t>
      </w:r>
      <w:r w:rsidR="002A73AC">
        <w:rPr>
          <w:rFonts w:ascii="Times New Roman" w:hAnsi="Times New Roman"/>
          <w:sz w:val="24"/>
          <w:szCs w:val="24"/>
        </w:rPr>
        <w:t xml:space="preserve">a </w:t>
      </w:r>
      <w:r w:rsidRPr="00AB56A1">
        <w:rPr>
          <w:rFonts w:ascii="Times New Roman" w:hAnsi="Times New Roman"/>
          <w:sz w:val="24"/>
          <w:szCs w:val="24"/>
        </w:rPr>
        <w:t xml:space="preserve">very dynamic increase after a crisis, which decreases the </w:t>
      </w:r>
      <w:r w:rsidRPr="00AB56A1">
        <w:rPr>
          <w:rFonts w:ascii="Times New Roman" w:hAnsi="Times New Roman"/>
          <w:sz w:val="24"/>
          <w:szCs w:val="24"/>
        </w:rPr>
        <w:lastRenderedPageBreak/>
        <w:t>difference in the development level between new and old members and</w:t>
      </w:r>
      <w:r w:rsidR="002A73AC">
        <w:rPr>
          <w:rFonts w:ascii="Times New Roman" w:hAnsi="Times New Roman"/>
          <w:sz w:val="24"/>
          <w:szCs w:val="24"/>
        </w:rPr>
        <w:t>,</w:t>
      </w:r>
      <w:r w:rsidRPr="00AB56A1">
        <w:rPr>
          <w:rFonts w:ascii="Times New Roman" w:hAnsi="Times New Roman"/>
          <w:sz w:val="24"/>
          <w:szCs w:val="24"/>
        </w:rPr>
        <w:t xml:space="preserve"> therefore</w:t>
      </w:r>
      <w:r w:rsidR="002A73AC">
        <w:rPr>
          <w:rFonts w:ascii="Times New Roman" w:hAnsi="Times New Roman"/>
          <w:sz w:val="24"/>
          <w:szCs w:val="24"/>
        </w:rPr>
        <w:t>,</w:t>
      </w:r>
      <w:r w:rsidRPr="00AB56A1">
        <w:rPr>
          <w:rFonts w:ascii="Times New Roman" w:hAnsi="Times New Roman"/>
          <w:sz w:val="24"/>
          <w:szCs w:val="24"/>
        </w:rPr>
        <w:t xml:space="preserve"> limits the disparities within the Community,</w:t>
      </w:r>
    </w:p>
    <w:p w14:paraId="0BB3D321" w14:textId="77777777" w:rsidR="00F900E7" w:rsidRPr="00AB56A1" w:rsidRDefault="00F900E7" w:rsidP="00AB05A6">
      <w:pPr>
        <w:pStyle w:val="Akapitzlist"/>
        <w:numPr>
          <w:ilvl w:val="0"/>
          <w:numId w:val="10"/>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in the largest country in the group of new members, i.e. In Poland, we observe a fast GDP increase and decreasing disparity indexes at the same time, which has</w:t>
      </w:r>
      <w:r w:rsidR="002A73AC">
        <w:rPr>
          <w:rFonts w:ascii="Times New Roman" w:hAnsi="Times New Roman"/>
          <w:sz w:val="24"/>
          <w:szCs w:val="24"/>
        </w:rPr>
        <w:t xml:space="preserve"> an</w:t>
      </w:r>
      <w:r w:rsidRPr="00AB56A1">
        <w:rPr>
          <w:rFonts w:ascii="Times New Roman" w:hAnsi="Times New Roman"/>
          <w:sz w:val="24"/>
          <w:szCs w:val="24"/>
        </w:rPr>
        <w:t xml:space="preserve"> impact on the income distribution within the whole EU, </w:t>
      </w:r>
    </w:p>
    <w:p w14:paraId="0CB76126" w14:textId="77777777" w:rsidR="00AF45FF" w:rsidRPr="00AB56A1" w:rsidRDefault="00AF45FF" w:rsidP="00AB05A6">
      <w:pPr>
        <w:pStyle w:val="Akapitzlist"/>
        <w:numPr>
          <w:ilvl w:val="0"/>
          <w:numId w:val="10"/>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in </w:t>
      </w:r>
      <w:r w:rsidR="002A73AC">
        <w:rPr>
          <w:rFonts w:ascii="Times New Roman" w:hAnsi="Times New Roman"/>
          <w:sz w:val="24"/>
          <w:szCs w:val="24"/>
        </w:rPr>
        <w:t xml:space="preserve">the </w:t>
      </w:r>
      <w:r w:rsidRPr="00AB56A1">
        <w:rPr>
          <w:rFonts w:ascii="Times New Roman" w:hAnsi="Times New Roman"/>
          <w:sz w:val="24"/>
          <w:szCs w:val="24"/>
        </w:rPr>
        <w:t>majority of richer countries, even in traditionally social-minded Scandinavian countries</w:t>
      </w:r>
      <w:r w:rsidR="002A73AC">
        <w:rPr>
          <w:rFonts w:ascii="Times New Roman" w:hAnsi="Times New Roman"/>
          <w:sz w:val="24"/>
          <w:szCs w:val="24"/>
        </w:rPr>
        <w:t>,</w:t>
      </w:r>
      <w:r w:rsidRPr="00AB56A1">
        <w:rPr>
          <w:rFonts w:ascii="Times New Roman" w:hAnsi="Times New Roman"/>
          <w:sz w:val="24"/>
          <w:szCs w:val="24"/>
        </w:rPr>
        <w:t xml:space="preserve"> such as Sweden or Denmark, the inequalities increase, which increases the income disparities at the EU level.</w:t>
      </w:r>
    </w:p>
    <w:p w14:paraId="72169F35" w14:textId="311891BC" w:rsidR="009F66BD" w:rsidRPr="00AB56A1" w:rsidRDefault="009F66BD"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The fact that general income distribution indexes for the entire EU rest at a constant level does not mean that there are fundamental changes in </w:t>
      </w:r>
      <w:r w:rsidR="002A73AC">
        <w:rPr>
          <w:rFonts w:ascii="Times New Roman" w:hAnsi="Times New Roman"/>
          <w:sz w:val="24"/>
          <w:szCs w:val="24"/>
        </w:rPr>
        <w:t xml:space="preserve">the </w:t>
      </w:r>
      <w:r w:rsidRPr="00AB56A1">
        <w:rPr>
          <w:rFonts w:ascii="Times New Roman" w:hAnsi="Times New Roman"/>
          <w:sz w:val="24"/>
          <w:szCs w:val="24"/>
        </w:rPr>
        <w:t>social and economic structure of the EU. As we can guess, a fast increase in some countries, a deep recession in other countries and gradually increasing inequalities within the national economies in most West</w:t>
      </w:r>
      <w:r w:rsidR="00CD1A9A">
        <w:rPr>
          <w:rFonts w:ascii="Times New Roman" w:hAnsi="Times New Roman"/>
          <w:sz w:val="24"/>
          <w:szCs w:val="24"/>
        </w:rPr>
        <w:t>ern</w:t>
      </w:r>
      <w:r w:rsidRPr="00AB56A1">
        <w:rPr>
          <w:rFonts w:ascii="Times New Roman" w:hAnsi="Times New Roman"/>
          <w:sz w:val="24"/>
          <w:szCs w:val="24"/>
        </w:rPr>
        <w:t xml:space="preserve"> European countries should be reflected in the income structure within the EU.</w:t>
      </w:r>
    </w:p>
    <w:p w14:paraId="68E69B21" w14:textId="77777777" w:rsidR="005E3017" w:rsidRPr="00AB56A1" w:rsidRDefault="005E3017" w:rsidP="00AB05A6">
      <w:pPr>
        <w:spacing w:after="0" w:line="360" w:lineRule="auto"/>
        <w:ind w:firstLine="708"/>
        <w:jc w:val="both"/>
        <w:rPr>
          <w:rFonts w:ascii="Times New Roman" w:eastAsia="Times New Roman" w:hAnsi="Times New Roman" w:cs="Times New Roman"/>
          <w:sz w:val="24"/>
          <w:szCs w:val="24"/>
        </w:rPr>
      </w:pPr>
    </w:p>
    <w:p w14:paraId="71DA29F6" w14:textId="4D6F73F5" w:rsidR="005E3017" w:rsidRDefault="005E3017" w:rsidP="00AB05A6">
      <w:pPr>
        <w:spacing w:after="0" w:line="360" w:lineRule="auto"/>
        <w:ind w:firstLine="708"/>
        <w:jc w:val="both"/>
        <w:rPr>
          <w:rFonts w:ascii="Times New Roman" w:hAnsi="Times New Roman"/>
          <w:b/>
          <w:sz w:val="24"/>
          <w:szCs w:val="24"/>
        </w:rPr>
      </w:pPr>
      <w:r w:rsidRPr="00AB56A1">
        <w:rPr>
          <w:rFonts w:ascii="Times New Roman" w:hAnsi="Times New Roman"/>
          <w:b/>
          <w:sz w:val="24"/>
          <w:szCs w:val="24"/>
        </w:rPr>
        <w:t>Table 2. GDP dynamics in selected EU countries</w:t>
      </w:r>
    </w:p>
    <w:p w14:paraId="47C05080" w14:textId="24F7A779" w:rsidR="008A0894" w:rsidRPr="00AB56A1" w:rsidRDefault="008A0894" w:rsidP="00AB05A6">
      <w:pPr>
        <w:spacing w:after="0" w:line="360" w:lineRule="auto"/>
        <w:ind w:firstLine="708"/>
        <w:jc w:val="both"/>
        <w:rPr>
          <w:rFonts w:ascii="Times New Roman" w:eastAsia="Times New Roman" w:hAnsi="Times New Roman" w:cs="Times New Roman"/>
          <w:b/>
          <w:sz w:val="24"/>
          <w:szCs w:val="24"/>
        </w:rPr>
      </w:pPr>
      <w:r w:rsidRPr="008A0894">
        <w:drawing>
          <wp:inline distT="0" distB="0" distL="0" distR="0" wp14:anchorId="0BB0D86F" wp14:editId="60662F4C">
            <wp:extent cx="5760720" cy="1361884"/>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361884"/>
                    </a:xfrm>
                    <a:prstGeom prst="rect">
                      <a:avLst/>
                    </a:prstGeom>
                    <a:noFill/>
                    <a:ln>
                      <a:noFill/>
                    </a:ln>
                  </pic:spPr>
                </pic:pic>
              </a:graphicData>
            </a:graphic>
          </wp:inline>
        </w:drawing>
      </w:r>
    </w:p>
    <w:p w14:paraId="6B9DAF3D" w14:textId="26155730" w:rsidR="008D166E" w:rsidRPr="00AB56A1" w:rsidRDefault="005E3017"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Source: Eurostat</w:t>
      </w:r>
      <w:r w:rsidR="008A0894">
        <w:rPr>
          <w:rFonts w:ascii="Times New Roman" w:hAnsi="Times New Roman"/>
          <w:sz w:val="24"/>
          <w:szCs w:val="24"/>
        </w:rPr>
        <w:t xml:space="preserve"> </w:t>
      </w:r>
      <w:proofErr w:type="spellStart"/>
      <w:r w:rsidR="008A0894">
        <w:rPr>
          <w:rFonts w:ascii="Times New Roman" w:hAnsi="Times New Roman"/>
          <w:sz w:val="24"/>
          <w:szCs w:val="24"/>
        </w:rPr>
        <w:t>batadase</w:t>
      </w:r>
      <w:proofErr w:type="spellEnd"/>
    </w:p>
    <w:p w14:paraId="1B58AAB4" w14:textId="77777777" w:rsidR="005E3017" w:rsidRPr="00AB56A1" w:rsidRDefault="005E3017" w:rsidP="00AB05A6">
      <w:pPr>
        <w:spacing w:after="0" w:line="360" w:lineRule="auto"/>
        <w:ind w:firstLine="708"/>
        <w:jc w:val="both"/>
        <w:rPr>
          <w:rFonts w:ascii="Times New Roman" w:eastAsia="Times New Roman" w:hAnsi="Times New Roman" w:cs="Times New Roman"/>
          <w:sz w:val="24"/>
          <w:szCs w:val="24"/>
        </w:rPr>
      </w:pPr>
    </w:p>
    <w:p w14:paraId="33997277" w14:textId="1BBE9485" w:rsidR="008D166E" w:rsidRDefault="005E3017" w:rsidP="00AB05A6">
      <w:pPr>
        <w:spacing w:after="0" w:line="360" w:lineRule="auto"/>
        <w:ind w:firstLine="708"/>
        <w:jc w:val="both"/>
        <w:rPr>
          <w:rFonts w:ascii="Times New Roman" w:hAnsi="Times New Roman"/>
          <w:b/>
          <w:sz w:val="24"/>
          <w:szCs w:val="24"/>
        </w:rPr>
      </w:pPr>
      <w:r w:rsidRPr="00AB56A1">
        <w:rPr>
          <w:rFonts w:ascii="Times New Roman" w:hAnsi="Times New Roman"/>
          <w:b/>
          <w:sz w:val="24"/>
          <w:szCs w:val="24"/>
        </w:rPr>
        <w:t>Table 3. National structure of the 1</w:t>
      </w:r>
      <w:r w:rsidRPr="00AB56A1">
        <w:rPr>
          <w:rFonts w:ascii="Times New Roman" w:hAnsi="Times New Roman"/>
          <w:b/>
          <w:sz w:val="24"/>
          <w:szCs w:val="24"/>
          <w:vertAlign w:val="superscript"/>
        </w:rPr>
        <w:t>st</w:t>
      </w:r>
      <w:r w:rsidRPr="00AB56A1">
        <w:rPr>
          <w:rFonts w:ascii="Times New Roman" w:hAnsi="Times New Roman"/>
          <w:b/>
          <w:sz w:val="24"/>
          <w:szCs w:val="24"/>
        </w:rPr>
        <w:t xml:space="preserve"> and 10</w:t>
      </w:r>
      <w:r w:rsidRPr="00AB56A1">
        <w:rPr>
          <w:rFonts w:ascii="Times New Roman" w:hAnsi="Times New Roman"/>
          <w:b/>
          <w:sz w:val="24"/>
          <w:szCs w:val="24"/>
          <w:vertAlign w:val="superscript"/>
        </w:rPr>
        <w:t>th</w:t>
      </w:r>
      <w:r w:rsidRPr="00AB56A1">
        <w:rPr>
          <w:rFonts w:ascii="Times New Roman" w:hAnsi="Times New Roman"/>
          <w:b/>
          <w:sz w:val="24"/>
          <w:szCs w:val="24"/>
        </w:rPr>
        <w:t xml:space="preserve"> income decile in the EU.</w:t>
      </w:r>
    </w:p>
    <w:tbl>
      <w:tblPr>
        <w:tblW w:w="9640" w:type="dxa"/>
        <w:tblCellMar>
          <w:left w:w="0" w:type="dxa"/>
          <w:right w:w="0" w:type="dxa"/>
        </w:tblCellMar>
        <w:tblLook w:val="0600" w:firstRow="0" w:lastRow="0" w:firstColumn="0" w:lastColumn="0" w:noHBand="1" w:noVBand="1"/>
      </w:tblPr>
      <w:tblGrid>
        <w:gridCol w:w="4200"/>
        <w:gridCol w:w="1360"/>
        <w:gridCol w:w="1360"/>
        <w:gridCol w:w="1360"/>
        <w:gridCol w:w="1360"/>
      </w:tblGrid>
      <w:tr w:rsidR="008A0894" w:rsidRPr="008A0894" w14:paraId="4222D057" w14:textId="77777777" w:rsidTr="008A0894">
        <w:trPr>
          <w:trHeight w:val="416"/>
        </w:trPr>
        <w:tc>
          <w:tcPr>
            <w:tcW w:w="4200" w:type="dxa"/>
            <w:tcBorders>
              <w:top w:val="single" w:sz="4" w:space="0" w:color="000000"/>
              <w:left w:val="single" w:sz="4" w:space="0" w:color="000000"/>
              <w:bottom w:val="nil"/>
              <w:right w:val="nil"/>
            </w:tcBorders>
            <w:shd w:val="clear" w:color="auto" w:fill="auto"/>
            <w:tcMar>
              <w:top w:w="10" w:type="dxa"/>
              <w:left w:w="10" w:type="dxa"/>
              <w:bottom w:w="0" w:type="dxa"/>
              <w:right w:w="10" w:type="dxa"/>
            </w:tcMar>
            <w:vAlign w:val="bottom"/>
            <w:hideMark/>
          </w:tcPr>
          <w:p w14:paraId="0655FE63"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 </w:t>
            </w:r>
          </w:p>
        </w:tc>
        <w:tc>
          <w:tcPr>
            <w:tcW w:w="2720" w:type="dxa"/>
            <w:gridSpan w:val="2"/>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2C0CBFDB" w14:textId="77777777" w:rsidR="008A0894" w:rsidRPr="008A0894" w:rsidRDefault="008A0894" w:rsidP="008A0894">
            <w:pPr>
              <w:spacing w:after="0" w:line="240" w:lineRule="auto"/>
              <w:jc w:val="center"/>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 xml:space="preserve">1. </w:t>
            </w:r>
            <w:proofErr w:type="spellStart"/>
            <w:r w:rsidRPr="008A0894">
              <w:rPr>
                <w:rFonts w:ascii="Calibri" w:eastAsia="Times New Roman" w:hAnsi="Calibri" w:cs="Calibri"/>
                <w:b/>
                <w:bCs/>
                <w:color w:val="000000"/>
                <w:kern w:val="24"/>
                <w:sz w:val="24"/>
                <w:szCs w:val="24"/>
                <w:lang w:val="pl-PL" w:eastAsia="pl-PL"/>
              </w:rPr>
              <w:t>decil</w:t>
            </w:r>
            <w:proofErr w:type="spellEnd"/>
          </w:p>
        </w:tc>
        <w:tc>
          <w:tcPr>
            <w:tcW w:w="2720" w:type="dxa"/>
            <w:gridSpan w:val="2"/>
            <w:tcBorders>
              <w:top w:val="single" w:sz="4" w:space="0" w:color="000000"/>
              <w:left w:val="nil"/>
              <w:bottom w:val="nil"/>
              <w:right w:val="single" w:sz="4" w:space="0" w:color="000000"/>
            </w:tcBorders>
            <w:shd w:val="clear" w:color="auto" w:fill="auto"/>
            <w:tcMar>
              <w:top w:w="10" w:type="dxa"/>
              <w:left w:w="10" w:type="dxa"/>
              <w:bottom w:w="0" w:type="dxa"/>
              <w:right w:w="10" w:type="dxa"/>
            </w:tcMar>
            <w:vAlign w:val="bottom"/>
            <w:hideMark/>
          </w:tcPr>
          <w:p w14:paraId="00290EA0" w14:textId="77777777" w:rsidR="008A0894" w:rsidRPr="008A0894" w:rsidRDefault="008A0894" w:rsidP="008A0894">
            <w:pPr>
              <w:spacing w:after="0" w:line="240" w:lineRule="auto"/>
              <w:jc w:val="center"/>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10.decil</w:t>
            </w:r>
          </w:p>
        </w:tc>
      </w:tr>
      <w:tr w:rsidR="008A0894" w:rsidRPr="008A0894" w14:paraId="6B934342"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4C9F66A2"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 xml:space="preserve">Country, </w:t>
            </w:r>
            <w:proofErr w:type="spellStart"/>
            <w:r w:rsidRPr="008A0894">
              <w:rPr>
                <w:rFonts w:ascii="Calibri" w:eastAsia="Times New Roman" w:hAnsi="Calibri" w:cs="Calibri"/>
                <w:color w:val="000000"/>
                <w:kern w:val="24"/>
                <w:sz w:val="24"/>
                <w:szCs w:val="24"/>
                <w:lang w:val="pl-PL" w:eastAsia="pl-PL"/>
              </w:rPr>
              <w:t>year</w:t>
            </w:r>
            <w:proofErr w:type="spellEnd"/>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1A313297"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2007</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6C6E873F"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2016</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67476529"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2007</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900B7AD"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2016</w:t>
            </w:r>
          </w:p>
        </w:tc>
      </w:tr>
      <w:tr w:rsidR="008A0894" w:rsidRPr="008A0894" w14:paraId="55CA8557"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0B882BE6"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Romania</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208BFD8"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31,3</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24B4782B"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25,7</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3A72D407"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623CE92E"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w:t>
            </w:r>
          </w:p>
        </w:tc>
      </w:tr>
      <w:tr w:rsidR="008A0894" w:rsidRPr="008A0894" w14:paraId="6748D6AC"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556A4F91"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Poland</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6A7B5C45"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23,2</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198FA0CE"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12</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3618BB3B"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0,8</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6DD38958"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1,5</w:t>
            </w:r>
          </w:p>
        </w:tc>
      </w:tr>
      <w:tr w:rsidR="008A0894" w:rsidRPr="008A0894" w14:paraId="519DDB15"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70607F4A"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proofErr w:type="spellStart"/>
            <w:r w:rsidRPr="008A0894">
              <w:rPr>
                <w:rFonts w:ascii="Calibri" w:eastAsia="Times New Roman" w:hAnsi="Calibri" w:cs="Calibri"/>
                <w:b/>
                <w:bCs/>
                <w:color w:val="000000"/>
                <w:kern w:val="24"/>
                <w:sz w:val="24"/>
                <w:szCs w:val="24"/>
                <w:lang w:val="pl-PL" w:eastAsia="pl-PL"/>
              </w:rPr>
              <w:t>Bulgaria</w:t>
            </w:r>
            <w:proofErr w:type="spellEnd"/>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41002EEC"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10,4</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3F14E315"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6,2</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1F58842F"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21D3B39A"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w:t>
            </w:r>
          </w:p>
        </w:tc>
      </w:tr>
      <w:tr w:rsidR="008A0894" w:rsidRPr="008A0894" w14:paraId="6AC2CAE5"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2FEAA10D"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proofErr w:type="spellStart"/>
            <w:r w:rsidRPr="008A0894">
              <w:rPr>
                <w:rFonts w:ascii="Calibri" w:eastAsia="Times New Roman" w:hAnsi="Calibri" w:cs="Calibri"/>
                <w:b/>
                <w:bCs/>
                <w:color w:val="000000"/>
                <w:kern w:val="24"/>
                <w:sz w:val="24"/>
                <w:szCs w:val="24"/>
                <w:lang w:val="pl-PL" w:eastAsia="pl-PL"/>
              </w:rPr>
              <w:t>Other</w:t>
            </w:r>
            <w:proofErr w:type="spellEnd"/>
            <w:r w:rsidRPr="008A0894">
              <w:rPr>
                <w:rFonts w:ascii="Calibri" w:eastAsia="Times New Roman" w:hAnsi="Calibri" w:cs="Calibri"/>
                <w:b/>
                <w:bCs/>
                <w:color w:val="000000"/>
                <w:kern w:val="24"/>
                <w:sz w:val="24"/>
                <w:szCs w:val="24"/>
                <w:lang w:val="pl-PL" w:eastAsia="pl-PL"/>
              </w:rPr>
              <w:t xml:space="preserve"> CEE*</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57314331"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10</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17EB95FB"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10,1</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43E5763B"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0,6</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54F58A2D"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w:t>
            </w:r>
          </w:p>
        </w:tc>
      </w:tr>
      <w:tr w:rsidR="008A0894" w:rsidRPr="008A0894" w14:paraId="02219962"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4DEE9845"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proofErr w:type="spellStart"/>
            <w:r w:rsidRPr="008A0894">
              <w:rPr>
                <w:rFonts w:ascii="Calibri" w:eastAsia="Times New Roman" w:hAnsi="Calibri" w:cs="Calibri"/>
                <w:b/>
                <w:bCs/>
                <w:color w:val="000000"/>
                <w:kern w:val="24"/>
                <w:sz w:val="24"/>
                <w:szCs w:val="24"/>
                <w:lang w:val="pl-PL" w:eastAsia="pl-PL"/>
              </w:rPr>
              <w:t>Italy</w:t>
            </w:r>
            <w:proofErr w:type="spellEnd"/>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55546A2E"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4,8</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227A3BC2"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10,8</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46533B2C"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11,8</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0211DB95"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10,1</w:t>
            </w:r>
          </w:p>
        </w:tc>
      </w:tr>
      <w:tr w:rsidR="008A0894" w:rsidRPr="008A0894" w14:paraId="41D973E2"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5E05E532"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Greece</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2336A087"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1,6</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1B9266D"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6,2</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3703CCBC"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1,3</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27D2176D"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0,2</w:t>
            </w:r>
          </w:p>
        </w:tc>
      </w:tr>
      <w:tr w:rsidR="008A0894" w:rsidRPr="008A0894" w14:paraId="3D9D0895"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4E3F8349"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proofErr w:type="spellStart"/>
            <w:r w:rsidRPr="008A0894">
              <w:rPr>
                <w:rFonts w:ascii="Calibri" w:eastAsia="Times New Roman" w:hAnsi="Calibri" w:cs="Calibri"/>
                <w:b/>
                <w:bCs/>
                <w:color w:val="000000"/>
                <w:kern w:val="24"/>
                <w:sz w:val="24"/>
                <w:szCs w:val="24"/>
                <w:lang w:val="pl-PL" w:eastAsia="pl-PL"/>
              </w:rPr>
              <w:t>Spain</w:t>
            </w:r>
            <w:proofErr w:type="spellEnd"/>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759C6DB8"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5,5</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D2A22C2"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10,1</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24842A25"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6,4</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7D5193B9"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7,4</w:t>
            </w:r>
          </w:p>
        </w:tc>
      </w:tr>
      <w:tr w:rsidR="008A0894" w:rsidRPr="008A0894" w14:paraId="2FF37E2E"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4C5F1704"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lastRenderedPageBreak/>
              <w:t>Germany</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7702DAF4"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4,9</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4396AF10"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4,9</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6C6CC5D"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24,4</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139AAD35"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27,8</w:t>
            </w:r>
          </w:p>
        </w:tc>
      </w:tr>
      <w:tr w:rsidR="008A0894" w:rsidRPr="008A0894" w14:paraId="6968A04E"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2B3C7FD5"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France</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4B00CF0B"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1,3</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7913A977"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1,3</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2593D95"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11,2</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49C40A4"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19,2</w:t>
            </w:r>
          </w:p>
        </w:tc>
      </w:tr>
      <w:tr w:rsidR="008A0894" w:rsidRPr="008A0894" w14:paraId="018F830A" w14:textId="77777777" w:rsidTr="008A0894">
        <w:trPr>
          <w:trHeight w:val="416"/>
        </w:trPr>
        <w:tc>
          <w:tcPr>
            <w:tcW w:w="4200" w:type="dxa"/>
            <w:tcBorders>
              <w:top w:val="nil"/>
              <w:left w:val="single" w:sz="4" w:space="0" w:color="000000"/>
              <w:bottom w:val="nil"/>
              <w:right w:val="nil"/>
            </w:tcBorders>
            <w:shd w:val="clear" w:color="auto" w:fill="auto"/>
            <w:tcMar>
              <w:top w:w="10" w:type="dxa"/>
              <w:left w:w="10" w:type="dxa"/>
              <w:bottom w:w="0" w:type="dxa"/>
              <w:right w:w="10" w:type="dxa"/>
            </w:tcMar>
            <w:vAlign w:val="bottom"/>
            <w:hideMark/>
          </w:tcPr>
          <w:p w14:paraId="6DDAC12D"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r w:rsidRPr="008A0894">
              <w:rPr>
                <w:rFonts w:ascii="Calibri" w:eastAsia="Times New Roman" w:hAnsi="Calibri" w:cs="Calibri"/>
                <w:b/>
                <w:bCs/>
                <w:color w:val="000000"/>
                <w:kern w:val="24"/>
                <w:sz w:val="24"/>
                <w:szCs w:val="24"/>
                <w:lang w:val="pl-PL" w:eastAsia="pl-PL"/>
              </w:rPr>
              <w:t>UK</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7C31CA50"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2,5</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1D2B5FB8"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6,5</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2403C4AD"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28,3</w:t>
            </w:r>
          </w:p>
        </w:tc>
        <w:tc>
          <w:tcPr>
            <w:tcW w:w="1360" w:type="dxa"/>
            <w:tcBorders>
              <w:top w:val="nil"/>
              <w:left w:val="nil"/>
              <w:bottom w:val="nil"/>
              <w:right w:val="single" w:sz="4" w:space="0" w:color="000000"/>
            </w:tcBorders>
            <w:shd w:val="clear" w:color="auto" w:fill="auto"/>
            <w:tcMar>
              <w:top w:w="10" w:type="dxa"/>
              <w:left w:w="10" w:type="dxa"/>
              <w:bottom w:w="0" w:type="dxa"/>
              <w:right w:w="10" w:type="dxa"/>
            </w:tcMar>
            <w:vAlign w:val="bottom"/>
            <w:hideMark/>
          </w:tcPr>
          <w:p w14:paraId="3F9CE87B"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13</w:t>
            </w:r>
          </w:p>
        </w:tc>
      </w:tr>
      <w:tr w:rsidR="008A0894" w:rsidRPr="008A0894" w14:paraId="38C6E2D9" w14:textId="77777777" w:rsidTr="008A0894">
        <w:trPr>
          <w:trHeight w:val="416"/>
        </w:trPr>
        <w:tc>
          <w:tcPr>
            <w:tcW w:w="4200" w:type="dxa"/>
            <w:tcBorders>
              <w:top w:val="nil"/>
              <w:left w:val="single" w:sz="4" w:space="0" w:color="000000"/>
              <w:bottom w:val="single" w:sz="4" w:space="0" w:color="000000"/>
              <w:right w:val="nil"/>
            </w:tcBorders>
            <w:shd w:val="clear" w:color="auto" w:fill="auto"/>
            <w:tcMar>
              <w:top w:w="10" w:type="dxa"/>
              <w:left w:w="10" w:type="dxa"/>
              <w:bottom w:w="0" w:type="dxa"/>
              <w:right w:w="10" w:type="dxa"/>
            </w:tcMar>
            <w:vAlign w:val="bottom"/>
            <w:hideMark/>
          </w:tcPr>
          <w:p w14:paraId="79A2CDA1" w14:textId="77777777" w:rsidR="008A0894" w:rsidRPr="008A0894" w:rsidRDefault="008A0894" w:rsidP="008A0894">
            <w:pPr>
              <w:spacing w:after="0" w:line="240" w:lineRule="auto"/>
              <w:textAlignment w:val="bottom"/>
              <w:rPr>
                <w:rFonts w:ascii="Arial" w:eastAsia="Times New Roman" w:hAnsi="Arial" w:cs="Arial"/>
                <w:sz w:val="24"/>
                <w:szCs w:val="24"/>
                <w:lang w:val="pl-PL" w:eastAsia="pl-PL"/>
              </w:rPr>
            </w:pPr>
            <w:proofErr w:type="spellStart"/>
            <w:r w:rsidRPr="008A0894">
              <w:rPr>
                <w:rFonts w:ascii="Calibri" w:eastAsia="Times New Roman" w:hAnsi="Calibri" w:cs="Calibri"/>
                <w:b/>
                <w:bCs/>
                <w:color w:val="000000"/>
                <w:kern w:val="24"/>
                <w:sz w:val="24"/>
                <w:szCs w:val="24"/>
                <w:lang w:val="pl-PL" w:eastAsia="pl-PL"/>
              </w:rPr>
              <w:t>Other</w:t>
            </w:r>
            <w:proofErr w:type="spellEnd"/>
            <w:r w:rsidRPr="008A0894">
              <w:rPr>
                <w:rFonts w:ascii="Calibri" w:eastAsia="Times New Roman" w:hAnsi="Calibri" w:cs="Calibri"/>
                <w:b/>
                <w:bCs/>
                <w:color w:val="000000"/>
                <w:kern w:val="24"/>
                <w:sz w:val="24"/>
                <w:szCs w:val="24"/>
                <w:lang w:val="pl-PL" w:eastAsia="pl-PL"/>
              </w:rPr>
              <w:t xml:space="preserve"> WE</w:t>
            </w:r>
          </w:p>
        </w:tc>
        <w:tc>
          <w:tcPr>
            <w:tcW w:w="1360" w:type="dxa"/>
            <w:tcBorders>
              <w:top w:val="nil"/>
              <w:left w:val="nil"/>
              <w:bottom w:val="single" w:sz="4" w:space="0" w:color="000000"/>
              <w:right w:val="nil"/>
            </w:tcBorders>
            <w:shd w:val="clear" w:color="auto" w:fill="auto"/>
            <w:tcMar>
              <w:top w:w="10" w:type="dxa"/>
              <w:left w:w="10" w:type="dxa"/>
              <w:bottom w:w="0" w:type="dxa"/>
              <w:right w:w="10" w:type="dxa"/>
            </w:tcMar>
            <w:vAlign w:val="bottom"/>
            <w:hideMark/>
          </w:tcPr>
          <w:p w14:paraId="75B77FC3"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4,5</w:t>
            </w:r>
          </w:p>
        </w:tc>
        <w:tc>
          <w:tcPr>
            <w:tcW w:w="1360" w:type="dxa"/>
            <w:tcBorders>
              <w:top w:val="nil"/>
              <w:left w:val="nil"/>
              <w:bottom w:val="single" w:sz="4" w:space="0" w:color="000000"/>
              <w:right w:val="nil"/>
            </w:tcBorders>
            <w:shd w:val="clear" w:color="auto" w:fill="auto"/>
            <w:tcMar>
              <w:top w:w="10" w:type="dxa"/>
              <w:left w:w="10" w:type="dxa"/>
              <w:bottom w:w="0" w:type="dxa"/>
              <w:right w:w="10" w:type="dxa"/>
            </w:tcMar>
            <w:vAlign w:val="bottom"/>
            <w:hideMark/>
          </w:tcPr>
          <w:p w14:paraId="1BAD6556"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6,5</w:t>
            </w:r>
          </w:p>
        </w:tc>
        <w:tc>
          <w:tcPr>
            <w:tcW w:w="1360" w:type="dxa"/>
            <w:tcBorders>
              <w:top w:val="nil"/>
              <w:left w:val="nil"/>
              <w:bottom w:val="single" w:sz="4" w:space="0" w:color="000000"/>
              <w:right w:val="nil"/>
            </w:tcBorders>
            <w:shd w:val="clear" w:color="auto" w:fill="auto"/>
            <w:tcMar>
              <w:top w:w="10" w:type="dxa"/>
              <w:left w:w="10" w:type="dxa"/>
              <w:bottom w:w="0" w:type="dxa"/>
              <w:right w:w="10" w:type="dxa"/>
            </w:tcMar>
            <w:vAlign w:val="bottom"/>
            <w:hideMark/>
          </w:tcPr>
          <w:p w14:paraId="661553B4"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15,2</w:t>
            </w:r>
          </w:p>
        </w:tc>
        <w:tc>
          <w:tcPr>
            <w:tcW w:w="1360" w:type="dxa"/>
            <w:tcBorders>
              <w:top w:val="nil"/>
              <w:left w:val="nil"/>
              <w:bottom w:val="single" w:sz="4" w:space="0" w:color="000000"/>
              <w:right w:val="single" w:sz="4" w:space="0" w:color="000000"/>
            </w:tcBorders>
            <w:shd w:val="clear" w:color="auto" w:fill="auto"/>
            <w:tcMar>
              <w:top w:w="10" w:type="dxa"/>
              <w:left w:w="10" w:type="dxa"/>
              <w:bottom w:w="0" w:type="dxa"/>
              <w:right w:w="10" w:type="dxa"/>
            </w:tcMar>
            <w:vAlign w:val="bottom"/>
            <w:hideMark/>
          </w:tcPr>
          <w:p w14:paraId="5B391AD2" w14:textId="77777777" w:rsidR="008A0894" w:rsidRPr="008A0894" w:rsidRDefault="008A0894" w:rsidP="008A0894">
            <w:pPr>
              <w:spacing w:after="0" w:line="240" w:lineRule="auto"/>
              <w:jc w:val="right"/>
              <w:textAlignment w:val="bottom"/>
              <w:rPr>
                <w:rFonts w:ascii="Arial" w:eastAsia="Times New Roman" w:hAnsi="Arial" w:cs="Arial"/>
                <w:sz w:val="24"/>
                <w:szCs w:val="24"/>
                <w:lang w:val="pl-PL" w:eastAsia="pl-PL"/>
              </w:rPr>
            </w:pPr>
            <w:r w:rsidRPr="008A0894">
              <w:rPr>
                <w:rFonts w:ascii="Calibri" w:eastAsia="Times New Roman" w:hAnsi="Calibri" w:cs="Calibri"/>
                <w:color w:val="000000"/>
                <w:kern w:val="24"/>
                <w:sz w:val="24"/>
                <w:szCs w:val="24"/>
                <w:lang w:val="pl-PL" w:eastAsia="pl-PL"/>
              </w:rPr>
              <w:t>18,8</w:t>
            </w:r>
          </w:p>
        </w:tc>
      </w:tr>
      <w:tr w:rsidR="008A0894" w:rsidRPr="008A0894" w14:paraId="36B44B61" w14:textId="77777777" w:rsidTr="008A0894">
        <w:trPr>
          <w:trHeight w:val="416"/>
        </w:trPr>
        <w:tc>
          <w:tcPr>
            <w:tcW w:w="8280" w:type="dxa"/>
            <w:gridSpan w:val="4"/>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40F982A3" w14:textId="77777777" w:rsidR="008A0894" w:rsidRPr="008A0894" w:rsidRDefault="008A0894" w:rsidP="008A0894">
            <w:pPr>
              <w:spacing w:after="0" w:line="240" w:lineRule="auto"/>
              <w:textAlignment w:val="bottom"/>
              <w:rPr>
                <w:rFonts w:ascii="Arial" w:eastAsia="Times New Roman" w:hAnsi="Arial" w:cs="Arial"/>
                <w:sz w:val="36"/>
                <w:szCs w:val="36"/>
                <w:lang w:val="pl-PL" w:eastAsia="pl-PL"/>
              </w:rPr>
            </w:pPr>
            <w:r w:rsidRPr="008A0894">
              <w:rPr>
                <w:rFonts w:ascii="Calibri" w:eastAsia="Times New Roman" w:hAnsi="Calibri" w:cs="Calibri"/>
                <w:color w:val="000000"/>
                <w:kern w:val="24"/>
                <w:lang w:val="pl-PL" w:eastAsia="pl-PL"/>
              </w:rPr>
              <w:t xml:space="preserve">* For 10.decil </w:t>
            </w:r>
            <w:proofErr w:type="spellStart"/>
            <w:r w:rsidRPr="008A0894">
              <w:rPr>
                <w:rFonts w:ascii="Calibri" w:eastAsia="Times New Roman" w:hAnsi="Calibri" w:cs="Calibri"/>
                <w:color w:val="000000"/>
                <w:kern w:val="24"/>
                <w:lang w:val="pl-PL" w:eastAsia="pl-PL"/>
              </w:rPr>
              <w:t>also</w:t>
            </w:r>
            <w:proofErr w:type="spellEnd"/>
            <w:r w:rsidRPr="008A0894">
              <w:rPr>
                <w:rFonts w:ascii="Calibri" w:eastAsia="Times New Roman" w:hAnsi="Calibri" w:cs="Calibri"/>
                <w:color w:val="000000"/>
                <w:kern w:val="24"/>
                <w:lang w:val="pl-PL" w:eastAsia="pl-PL"/>
              </w:rPr>
              <w:t xml:space="preserve"> Romania and </w:t>
            </w:r>
            <w:proofErr w:type="spellStart"/>
            <w:r w:rsidRPr="008A0894">
              <w:rPr>
                <w:rFonts w:ascii="Calibri" w:eastAsia="Times New Roman" w:hAnsi="Calibri" w:cs="Calibri"/>
                <w:color w:val="000000"/>
                <w:kern w:val="24"/>
                <w:lang w:val="pl-PL" w:eastAsia="pl-PL"/>
              </w:rPr>
              <w:t>Bulgaria</w:t>
            </w:r>
            <w:proofErr w:type="spellEnd"/>
          </w:p>
        </w:tc>
        <w:tc>
          <w:tcPr>
            <w:tcW w:w="1360" w:type="dxa"/>
            <w:tcBorders>
              <w:top w:val="single" w:sz="4" w:space="0" w:color="000000"/>
              <w:left w:val="nil"/>
              <w:bottom w:val="nil"/>
              <w:right w:val="nil"/>
            </w:tcBorders>
            <w:shd w:val="clear" w:color="auto" w:fill="auto"/>
            <w:tcMar>
              <w:top w:w="10" w:type="dxa"/>
              <w:left w:w="10" w:type="dxa"/>
              <w:bottom w:w="0" w:type="dxa"/>
              <w:right w:w="10" w:type="dxa"/>
            </w:tcMar>
            <w:vAlign w:val="bottom"/>
            <w:hideMark/>
          </w:tcPr>
          <w:p w14:paraId="3F157EF5" w14:textId="77777777" w:rsidR="008A0894" w:rsidRPr="008A0894" w:rsidRDefault="008A0894" w:rsidP="008A0894">
            <w:pPr>
              <w:spacing w:after="0" w:line="240" w:lineRule="auto"/>
              <w:rPr>
                <w:rFonts w:ascii="Arial" w:eastAsia="Times New Roman" w:hAnsi="Arial" w:cs="Arial"/>
                <w:sz w:val="36"/>
                <w:szCs w:val="36"/>
                <w:lang w:val="pl-PL" w:eastAsia="pl-PL"/>
              </w:rPr>
            </w:pPr>
          </w:p>
        </w:tc>
      </w:tr>
      <w:tr w:rsidR="008A0894" w:rsidRPr="008A0894" w14:paraId="695F6595" w14:textId="77777777" w:rsidTr="008A0894">
        <w:trPr>
          <w:trHeight w:val="416"/>
        </w:trPr>
        <w:tc>
          <w:tcPr>
            <w:tcW w:w="6920" w:type="dxa"/>
            <w:gridSpan w:val="3"/>
            <w:tcBorders>
              <w:top w:val="nil"/>
              <w:left w:val="nil"/>
              <w:bottom w:val="nil"/>
              <w:right w:val="nil"/>
            </w:tcBorders>
            <w:shd w:val="clear" w:color="auto" w:fill="auto"/>
            <w:tcMar>
              <w:top w:w="10" w:type="dxa"/>
              <w:left w:w="10" w:type="dxa"/>
              <w:bottom w:w="0" w:type="dxa"/>
              <w:right w:w="10" w:type="dxa"/>
            </w:tcMar>
            <w:vAlign w:val="bottom"/>
            <w:hideMark/>
          </w:tcPr>
          <w:p w14:paraId="3DBCA1EE" w14:textId="31DA34E7" w:rsidR="008A0894" w:rsidRPr="008A0894" w:rsidRDefault="00F6479F" w:rsidP="008A0894">
            <w:pPr>
              <w:spacing w:after="0" w:line="240" w:lineRule="auto"/>
              <w:textAlignment w:val="bottom"/>
              <w:rPr>
                <w:rFonts w:ascii="Arial" w:eastAsia="Times New Roman" w:hAnsi="Arial" w:cs="Arial"/>
                <w:sz w:val="36"/>
                <w:szCs w:val="36"/>
                <w:lang w:val="pl-PL" w:eastAsia="pl-PL"/>
              </w:rPr>
            </w:pPr>
            <w:r>
              <w:rPr>
                <w:rFonts w:ascii="Calibri" w:eastAsia="Times New Roman" w:hAnsi="Calibri" w:cs="Calibri"/>
                <w:color w:val="000000"/>
                <w:kern w:val="24"/>
                <w:lang w:val="pl-PL" w:eastAsia="pl-PL"/>
              </w:rPr>
              <w:t xml:space="preserve">Source: </w:t>
            </w:r>
            <w:proofErr w:type="spellStart"/>
            <w:r>
              <w:rPr>
                <w:rFonts w:ascii="Calibri" w:eastAsia="Times New Roman" w:hAnsi="Calibri" w:cs="Calibri"/>
                <w:color w:val="000000"/>
                <w:kern w:val="24"/>
                <w:lang w:val="pl-PL" w:eastAsia="pl-PL"/>
              </w:rPr>
              <w:t>Based</w:t>
            </w:r>
            <w:proofErr w:type="spellEnd"/>
            <w:r>
              <w:rPr>
                <w:rFonts w:ascii="Calibri" w:eastAsia="Times New Roman" w:hAnsi="Calibri" w:cs="Calibri"/>
                <w:color w:val="000000"/>
                <w:kern w:val="24"/>
                <w:lang w:val="pl-PL" w:eastAsia="pl-PL"/>
              </w:rPr>
              <w:t xml:space="preserve"> on </w:t>
            </w:r>
            <w:proofErr w:type="spellStart"/>
            <w:r>
              <w:rPr>
                <w:rFonts w:ascii="Calibri" w:eastAsia="Times New Roman" w:hAnsi="Calibri" w:cs="Calibri"/>
                <w:color w:val="000000"/>
                <w:kern w:val="24"/>
                <w:lang w:val="pl-PL" w:eastAsia="pl-PL"/>
              </w:rPr>
              <w:t>Darvas</w:t>
            </w:r>
            <w:proofErr w:type="spellEnd"/>
            <w:r>
              <w:rPr>
                <w:rFonts w:ascii="Calibri" w:eastAsia="Times New Roman" w:hAnsi="Calibri" w:cs="Calibri"/>
                <w:color w:val="000000"/>
                <w:kern w:val="24"/>
                <w:lang w:val="pl-PL" w:eastAsia="pl-PL"/>
              </w:rPr>
              <w:t xml:space="preserve"> (2019</w:t>
            </w:r>
            <w:r w:rsidR="008A0894" w:rsidRPr="008A0894">
              <w:rPr>
                <w:rFonts w:ascii="Calibri" w:eastAsia="Times New Roman" w:hAnsi="Calibri" w:cs="Calibri"/>
                <w:color w:val="000000"/>
                <w:kern w:val="24"/>
                <w:lang w:val="pl-PL" w:eastAsia="pl-PL"/>
              </w:rPr>
              <w:t>)</w:t>
            </w: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89CEB33" w14:textId="77777777" w:rsidR="008A0894" w:rsidRPr="008A0894" w:rsidRDefault="008A0894" w:rsidP="008A0894">
            <w:pPr>
              <w:spacing w:after="0" w:line="240" w:lineRule="auto"/>
              <w:rPr>
                <w:rFonts w:ascii="Arial" w:eastAsia="Times New Roman" w:hAnsi="Arial" w:cs="Arial"/>
                <w:sz w:val="36"/>
                <w:szCs w:val="36"/>
                <w:lang w:val="pl-PL" w:eastAsia="pl-PL"/>
              </w:rPr>
            </w:pPr>
          </w:p>
        </w:tc>
        <w:tc>
          <w:tcPr>
            <w:tcW w:w="1360" w:type="dxa"/>
            <w:tcBorders>
              <w:top w:val="nil"/>
              <w:left w:val="nil"/>
              <w:bottom w:val="nil"/>
              <w:right w:val="nil"/>
            </w:tcBorders>
            <w:shd w:val="clear" w:color="auto" w:fill="auto"/>
            <w:tcMar>
              <w:top w:w="10" w:type="dxa"/>
              <w:left w:w="10" w:type="dxa"/>
              <w:bottom w:w="0" w:type="dxa"/>
              <w:right w:w="10" w:type="dxa"/>
            </w:tcMar>
            <w:vAlign w:val="bottom"/>
            <w:hideMark/>
          </w:tcPr>
          <w:p w14:paraId="06F7BECD" w14:textId="77777777" w:rsidR="008A0894" w:rsidRPr="008A0894" w:rsidRDefault="008A0894" w:rsidP="008A0894">
            <w:pPr>
              <w:spacing w:after="0" w:line="240" w:lineRule="auto"/>
              <w:rPr>
                <w:rFonts w:ascii="Times New Roman" w:eastAsia="Times New Roman" w:hAnsi="Times New Roman" w:cs="Times New Roman"/>
                <w:sz w:val="20"/>
                <w:szCs w:val="20"/>
                <w:lang w:val="pl-PL" w:eastAsia="pl-PL"/>
              </w:rPr>
            </w:pPr>
          </w:p>
        </w:tc>
      </w:tr>
    </w:tbl>
    <w:p w14:paraId="7954821D" w14:textId="77777777" w:rsidR="008A0894" w:rsidRPr="00AB56A1" w:rsidRDefault="008A0894" w:rsidP="00AB05A6">
      <w:pPr>
        <w:spacing w:after="0" w:line="360" w:lineRule="auto"/>
        <w:ind w:firstLine="708"/>
        <w:jc w:val="both"/>
        <w:rPr>
          <w:rFonts w:ascii="Times New Roman" w:eastAsia="Times New Roman" w:hAnsi="Times New Roman" w:cs="Times New Roman"/>
          <w:b/>
          <w:sz w:val="24"/>
          <w:szCs w:val="24"/>
        </w:rPr>
      </w:pPr>
    </w:p>
    <w:p w14:paraId="010217CA" w14:textId="66642874" w:rsidR="00487200" w:rsidRPr="00AB56A1" w:rsidRDefault="008D166E"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 </w:t>
      </w:r>
      <w:r w:rsidR="005E3017" w:rsidRPr="00AB56A1">
        <w:rPr>
          <w:rFonts w:ascii="Times New Roman" w:hAnsi="Times New Roman"/>
          <w:sz w:val="24"/>
          <w:szCs w:val="24"/>
        </w:rPr>
        <w:t>The above-presented data and information taken into consideration from Table No. 1. show that the above-mentioned processes actually occur:</w:t>
      </w:r>
    </w:p>
    <w:p w14:paraId="48574339" w14:textId="77777777" w:rsidR="00487200" w:rsidRPr="00AB56A1" w:rsidRDefault="00487200" w:rsidP="00AB05A6">
      <w:pPr>
        <w:pStyle w:val="Akapitzlist"/>
        <w:numPr>
          <w:ilvl w:val="0"/>
          <w:numId w:val="12"/>
        </w:numPr>
        <w:spacing w:after="0" w:line="360" w:lineRule="auto"/>
        <w:ind w:left="0" w:firstLine="1068"/>
        <w:jc w:val="both"/>
        <w:rPr>
          <w:rFonts w:ascii="Times New Roman" w:eastAsia="Times New Roman" w:hAnsi="Times New Roman" w:cs="Times New Roman"/>
          <w:sz w:val="24"/>
          <w:szCs w:val="24"/>
        </w:rPr>
      </w:pPr>
      <w:r w:rsidRPr="00AB56A1">
        <w:rPr>
          <w:rFonts w:ascii="Times New Roman" w:hAnsi="Times New Roman"/>
          <w:sz w:val="24"/>
          <w:szCs w:val="24"/>
        </w:rPr>
        <w:t>as a result of a fast general GDP increase level and decreasing inequalities, the share of Poles among 10% of the poorest Europeans decreases significantly and they “start to be visible” in the highest decile,</w:t>
      </w:r>
    </w:p>
    <w:p w14:paraId="56BACD4E" w14:textId="77777777" w:rsidR="00B22693" w:rsidRPr="00AB56A1" w:rsidRDefault="00B22693" w:rsidP="00AB05A6">
      <w:pPr>
        <w:pStyle w:val="Akapitzlist"/>
        <w:numPr>
          <w:ilvl w:val="0"/>
          <w:numId w:val="12"/>
        </w:numPr>
        <w:spacing w:after="0" w:line="360" w:lineRule="auto"/>
        <w:ind w:left="0" w:firstLine="1068"/>
        <w:jc w:val="both"/>
        <w:rPr>
          <w:rFonts w:ascii="Times New Roman" w:eastAsia="Times New Roman" w:hAnsi="Times New Roman" w:cs="Times New Roman"/>
          <w:sz w:val="24"/>
          <w:szCs w:val="24"/>
        </w:rPr>
      </w:pPr>
      <w:r w:rsidRPr="00AB56A1">
        <w:rPr>
          <w:rFonts w:ascii="Times New Roman" w:hAnsi="Times New Roman"/>
          <w:sz w:val="24"/>
          <w:szCs w:val="24"/>
        </w:rPr>
        <w:t>persisting high inequality indexes in Romania and Bulgaria weaken the impact of GDP dynamics on the decrease of the share of Romanians and Bulgarians among the Europeans with the lowest incomes,</w:t>
      </w:r>
    </w:p>
    <w:p w14:paraId="57630858" w14:textId="77777777" w:rsidR="00B22693" w:rsidRPr="00AB56A1" w:rsidRDefault="00B22693" w:rsidP="00AB05A6">
      <w:pPr>
        <w:pStyle w:val="Akapitzlist"/>
        <w:numPr>
          <w:ilvl w:val="0"/>
          <w:numId w:val="12"/>
        </w:numPr>
        <w:spacing w:after="0" w:line="360" w:lineRule="auto"/>
        <w:ind w:left="0" w:firstLine="1068"/>
        <w:jc w:val="both"/>
        <w:rPr>
          <w:rFonts w:ascii="Times New Roman" w:eastAsia="Times New Roman" w:hAnsi="Times New Roman" w:cs="Times New Roman"/>
          <w:sz w:val="24"/>
          <w:szCs w:val="24"/>
        </w:rPr>
      </w:pPr>
      <w:r w:rsidRPr="00AB56A1">
        <w:rPr>
          <w:rFonts w:ascii="Times New Roman" w:hAnsi="Times New Roman"/>
          <w:sz w:val="24"/>
          <w:szCs w:val="24"/>
        </w:rPr>
        <w:t xml:space="preserve">a deep recession at the time of crisis, low GDP dynamics in </w:t>
      </w:r>
      <w:r w:rsidR="00CD1A9A">
        <w:rPr>
          <w:rFonts w:ascii="Times New Roman" w:hAnsi="Times New Roman"/>
          <w:sz w:val="24"/>
          <w:szCs w:val="24"/>
        </w:rPr>
        <w:t xml:space="preserve">the </w:t>
      </w:r>
      <w:r w:rsidRPr="00AB56A1">
        <w:rPr>
          <w:rFonts w:ascii="Times New Roman" w:hAnsi="Times New Roman"/>
          <w:sz w:val="24"/>
          <w:szCs w:val="24"/>
        </w:rPr>
        <w:t xml:space="preserve">next years in combination with an increase of inequalities within the country for Greece significantly weaken the relative significance of </w:t>
      </w:r>
      <w:r w:rsidR="00CD1A9A">
        <w:rPr>
          <w:rFonts w:ascii="Times New Roman" w:hAnsi="Times New Roman"/>
          <w:sz w:val="24"/>
          <w:szCs w:val="24"/>
        </w:rPr>
        <w:t xml:space="preserve">the </w:t>
      </w:r>
      <w:r w:rsidRPr="00AB56A1">
        <w:rPr>
          <w:rFonts w:ascii="Times New Roman" w:hAnsi="Times New Roman"/>
          <w:sz w:val="24"/>
          <w:szCs w:val="24"/>
        </w:rPr>
        <w:t>inhabitants of these countries – their share increases among the poorest and decreases among the richest Europeans,</w:t>
      </w:r>
    </w:p>
    <w:p w14:paraId="0D43FE19" w14:textId="77777777" w:rsidR="00B22693" w:rsidRPr="00AB56A1" w:rsidRDefault="00B22693" w:rsidP="00AB05A6">
      <w:pPr>
        <w:pStyle w:val="Akapitzlist"/>
        <w:numPr>
          <w:ilvl w:val="0"/>
          <w:numId w:val="12"/>
        </w:numPr>
        <w:spacing w:after="0" w:line="360" w:lineRule="auto"/>
        <w:ind w:left="0" w:firstLine="1068"/>
        <w:jc w:val="both"/>
        <w:rPr>
          <w:rFonts w:ascii="Times New Roman" w:eastAsia="Times New Roman" w:hAnsi="Times New Roman" w:cs="Times New Roman"/>
          <w:sz w:val="24"/>
          <w:szCs w:val="24"/>
        </w:rPr>
      </w:pPr>
      <w:r w:rsidRPr="00AB56A1">
        <w:rPr>
          <w:rFonts w:ascii="Times New Roman" w:hAnsi="Times New Roman"/>
          <w:sz w:val="24"/>
          <w:szCs w:val="24"/>
        </w:rPr>
        <w:t>a relatively fast economic increase in a reach country, such as Germany with persisting domestic inequality index, only slightly increases the importance if Germans among the richest inhabitants in the EU,</w:t>
      </w:r>
    </w:p>
    <w:p w14:paraId="0477CEAA" w14:textId="6F286C64" w:rsidR="00D05869" w:rsidRPr="00AB56A1" w:rsidRDefault="00D05869" w:rsidP="00AB05A6">
      <w:pPr>
        <w:pStyle w:val="Akapitzlist"/>
        <w:numPr>
          <w:ilvl w:val="0"/>
          <w:numId w:val="12"/>
        </w:numPr>
        <w:spacing w:after="0" w:line="360" w:lineRule="auto"/>
        <w:ind w:left="0" w:firstLine="1068"/>
        <w:jc w:val="both"/>
        <w:rPr>
          <w:rFonts w:ascii="Times New Roman" w:eastAsia="Times New Roman" w:hAnsi="Times New Roman" w:cs="Times New Roman"/>
          <w:sz w:val="24"/>
          <w:szCs w:val="24"/>
        </w:rPr>
      </w:pPr>
      <w:r w:rsidRPr="00AB56A1">
        <w:rPr>
          <w:rFonts w:ascii="Times New Roman" w:hAnsi="Times New Roman"/>
          <w:sz w:val="24"/>
          <w:szCs w:val="24"/>
        </w:rPr>
        <w:t>another situation is observed in France – despite lower GDP dynamics, an increase in inequalities resulting from a fast increase of the richest inhabitants causes that the share of French people among 10% of the richest EU citizens increases quickly,</w:t>
      </w:r>
    </w:p>
    <w:p w14:paraId="03401179" w14:textId="7CD3330F" w:rsidR="00D05869" w:rsidRPr="00AB56A1" w:rsidRDefault="00D05869" w:rsidP="00AB05A6">
      <w:pPr>
        <w:pStyle w:val="Akapitzlist"/>
        <w:numPr>
          <w:ilvl w:val="0"/>
          <w:numId w:val="12"/>
        </w:numPr>
        <w:spacing w:after="0" w:line="360" w:lineRule="auto"/>
        <w:ind w:left="0" w:firstLine="1068"/>
        <w:jc w:val="both"/>
        <w:rPr>
          <w:rFonts w:ascii="Times New Roman" w:eastAsia="Times New Roman" w:hAnsi="Times New Roman" w:cs="Times New Roman"/>
          <w:sz w:val="24"/>
          <w:szCs w:val="24"/>
        </w:rPr>
      </w:pPr>
      <w:r w:rsidRPr="00AB56A1">
        <w:rPr>
          <w:rFonts w:ascii="Times New Roman" w:hAnsi="Times New Roman"/>
          <w:sz w:val="24"/>
          <w:szCs w:val="24"/>
        </w:rPr>
        <w:t>a combination of GDP stagnation and the domestic Gini coefficient increase in Spain causes the share of Spanish people</w:t>
      </w:r>
      <w:r w:rsidR="00CD1A9A">
        <w:rPr>
          <w:rFonts w:ascii="Times New Roman" w:hAnsi="Times New Roman"/>
          <w:sz w:val="24"/>
          <w:szCs w:val="24"/>
        </w:rPr>
        <w:t xml:space="preserve"> to</w:t>
      </w:r>
      <w:r w:rsidRPr="00AB56A1">
        <w:rPr>
          <w:rFonts w:ascii="Times New Roman" w:hAnsi="Times New Roman"/>
          <w:sz w:val="24"/>
          <w:szCs w:val="24"/>
        </w:rPr>
        <w:t xml:space="preserve"> increase both among the richest and the poorest inhabitants of the EU.</w:t>
      </w:r>
    </w:p>
    <w:p w14:paraId="4BEB0DE5" w14:textId="6A4015AE" w:rsidR="00D05869" w:rsidRPr="00AB56A1" w:rsidRDefault="00D05869"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To sum up, compared to the other parts of the global economy, the EU is a zone with relatively low income disparities, despite the fact that differences in the income level between the countries are quite significant. Economic events that occurred within the last several years have fundamentally changed the income distribution among EU inhabitants. The fact of persistence of the Gini coefficient calculated for the EU as a whole at a relatively constant level </w:t>
      </w:r>
      <w:r w:rsidR="00CD1A9A" w:rsidRPr="00AB56A1">
        <w:rPr>
          <w:rFonts w:ascii="Times New Roman" w:hAnsi="Times New Roman"/>
          <w:sz w:val="24"/>
          <w:szCs w:val="24"/>
        </w:rPr>
        <w:lastRenderedPageBreak/>
        <w:t>does</w:t>
      </w:r>
      <w:r w:rsidRPr="00AB56A1">
        <w:rPr>
          <w:rFonts w:ascii="Times New Roman" w:hAnsi="Times New Roman"/>
          <w:sz w:val="24"/>
          <w:szCs w:val="24"/>
        </w:rPr>
        <w:t xml:space="preserve"> not change the fact that the course of </w:t>
      </w:r>
      <w:r w:rsidR="00CD1A9A">
        <w:rPr>
          <w:rFonts w:ascii="Times New Roman" w:hAnsi="Times New Roman"/>
          <w:sz w:val="24"/>
          <w:szCs w:val="24"/>
        </w:rPr>
        <w:t xml:space="preserve">the </w:t>
      </w:r>
      <w:r w:rsidRPr="00AB56A1">
        <w:rPr>
          <w:rFonts w:ascii="Times New Roman" w:hAnsi="Times New Roman"/>
          <w:sz w:val="24"/>
          <w:szCs w:val="24"/>
        </w:rPr>
        <w:t xml:space="preserve">financial crisis and accession of Central and Eastern European countries to the EU have significantly </w:t>
      </w:r>
      <w:r w:rsidR="00CD1A9A" w:rsidRPr="00AB56A1">
        <w:rPr>
          <w:rFonts w:ascii="Times New Roman" w:hAnsi="Times New Roman"/>
          <w:sz w:val="24"/>
          <w:szCs w:val="24"/>
        </w:rPr>
        <w:t xml:space="preserve">changed </w:t>
      </w:r>
      <w:r w:rsidRPr="00AB56A1">
        <w:rPr>
          <w:rFonts w:ascii="Times New Roman" w:hAnsi="Times New Roman"/>
          <w:sz w:val="24"/>
          <w:szCs w:val="24"/>
        </w:rPr>
        <w:t>the national composition of the richest and poorest Europeans.</w:t>
      </w:r>
    </w:p>
    <w:p w14:paraId="1380FA37" w14:textId="77777777" w:rsidR="003B7262" w:rsidRPr="00AB56A1" w:rsidRDefault="003B7262" w:rsidP="00AB05A6">
      <w:pPr>
        <w:spacing w:after="0" w:line="360" w:lineRule="auto"/>
        <w:ind w:firstLine="708"/>
        <w:jc w:val="both"/>
        <w:rPr>
          <w:rFonts w:ascii="Times New Roman" w:eastAsia="Times New Roman" w:hAnsi="Times New Roman" w:cs="Times New Roman"/>
          <w:sz w:val="24"/>
          <w:szCs w:val="24"/>
        </w:rPr>
      </w:pPr>
    </w:p>
    <w:p w14:paraId="560BC94D" w14:textId="77777777" w:rsidR="003B7262" w:rsidRPr="00AB56A1" w:rsidRDefault="003B7262"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The European integration – convergence, crisis, adjustment</w:t>
      </w:r>
    </w:p>
    <w:p w14:paraId="1D366717" w14:textId="77777777" w:rsidR="003B7262" w:rsidRPr="00AB56A1" w:rsidRDefault="003B7262" w:rsidP="00AB05A6">
      <w:pPr>
        <w:spacing w:after="0" w:line="360" w:lineRule="auto"/>
        <w:ind w:firstLine="708"/>
        <w:jc w:val="both"/>
        <w:rPr>
          <w:rFonts w:ascii="Times New Roman" w:eastAsia="Times New Roman" w:hAnsi="Times New Roman" w:cs="Times New Roman"/>
          <w:b/>
          <w:sz w:val="24"/>
          <w:szCs w:val="24"/>
        </w:rPr>
      </w:pPr>
    </w:p>
    <w:p w14:paraId="4B1DA835" w14:textId="378C9F6F" w:rsidR="003B7262" w:rsidRPr="00AB56A1" w:rsidRDefault="003B7262"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Apart from its political and social purposes, the fundamental purpose of </w:t>
      </w:r>
      <w:r w:rsidR="00C8388D">
        <w:rPr>
          <w:rFonts w:ascii="Times New Roman" w:hAnsi="Times New Roman"/>
          <w:sz w:val="24"/>
          <w:szCs w:val="24"/>
        </w:rPr>
        <w:t xml:space="preserve">the </w:t>
      </w:r>
      <w:r w:rsidRPr="00AB56A1">
        <w:rPr>
          <w:rFonts w:ascii="Times New Roman" w:hAnsi="Times New Roman"/>
          <w:sz w:val="24"/>
          <w:szCs w:val="24"/>
        </w:rPr>
        <w:t xml:space="preserve">foundation of the EU and deepening of the integration is to create an area that would be characterised by a stable and quickly growing economy which translates into </w:t>
      </w:r>
      <w:r w:rsidR="00C8388D">
        <w:rPr>
          <w:rFonts w:ascii="Times New Roman" w:hAnsi="Times New Roman"/>
          <w:sz w:val="24"/>
          <w:szCs w:val="24"/>
        </w:rPr>
        <w:t xml:space="preserve">the </w:t>
      </w:r>
      <w:r w:rsidRPr="00AB56A1">
        <w:rPr>
          <w:rFonts w:ascii="Times New Roman" w:hAnsi="Times New Roman"/>
          <w:sz w:val="24"/>
          <w:szCs w:val="24"/>
        </w:rPr>
        <w:t xml:space="preserve">improvement of </w:t>
      </w:r>
      <w:r w:rsidR="00C8388D">
        <w:rPr>
          <w:rFonts w:ascii="Times New Roman" w:hAnsi="Times New Roman"/>
          <w:sz w:val="24"/>
          <w:szCs w:val="24"/>
        </w:rPr>
        <w:t xml:space="preserve">the </w:t>
      </w:r>
      <w:r w:rsidRPr="00AB56A1">
        <w:rPr>
          <w:rFonts w:ascii="Times New Roman" w:hAnsi="Times New Roman"/>
          <w:sz w:val="24"/>
          <w:szCs w:val="24"/>
        </w:rPr>
        <w:t>quality of life of its inhabitants. Basing on the principle of free movement of capital, goods and workforce was supposed to ensure an optimum allocation of resources at the continent scale and</w:t>
      </w:r>
      <w:r w:rsidR="00C8388D">
        <w:rPr>
          <w:rFonts w:ascii="Times New Roman" w:hAnsi="Times New Roman"/>
          <w:sz w:val="24"/>
          <w:szCs w:val="24"/>
        </w:rPr>
        <w:t>,</w:t>
      </w:r>
      <w:r w:rsidRPr="00AB56A1">
        <w:rPr>
          <w:rFonts w:ascii="Times New Roman" w:hAnsi="Times New Roman"/>
          <w:sz w:val="24"/>
          <w:szCs w:val="24"/>
        </w:rPr>
        <w:t xml:space="preserve"> therefore</w:t>
      </w:r>
      <w:r w:rsidR="00C8388D">
        <w:rPr>
          <w:rFonts w:ascii="Times New Roman" w:hAnsi="Times New Roman"/>
          <w:sz w:val="24"/>
          <w:szCs w:val="24"/>
        </w:rPr>
        <w:t>,</w:t>
      </w:r>
      <w:r w:rsidRPr="00AB56A1">
        <w:rPr>
          <w:rFonts w:ascii="Times New Roman" w:hAnsi="Times New Roman"/>
          <w:sz w:val="24"/>
          <w:szCs w:val="24"/>
        </w:rPr>
        <w:t xml:space="preserve"> contribute to a fast economic growth of the entire group. Despite the progressing economic integration and lack of formal barriers for </w:t>
      </w:r>
      <w:r w:rsidR="00C8388D">
        <w:rPr>
          <w:rFonts w:ascii="Times New Roman" w:hAnsi="Times New Roman"/>
          <w:sz w:val="24"/>
          <w:szCs w:val="24"/>
        </w:rPr>
        <w:t xml:space="preserve">the </w:t>
      </w:r>
      <w:r w:rsidRPr="00AB56A1">
        <w:rPr>
          <w:rFonts w:ascii="Times New Roman" w:hAnsi="Times New Roman"/>
          <w:sz w:val="24"/>
          <w:szCs w:val="24"/>
        </w:rPr>
        <w:t xml:space="preserve">transfer of </w:t>
      </w:r>
      <w:r w:rsidR="00C8388D">
        <w:rPr>
          <w:rFonts w:ascii="Times New Roman" w:hAnsi="Times New Roman"/>
          <w:sz w:val="24"/>
          <w:szCs w:val="24"/>
        </w:rPr>
        <w:t xml:space="preserve">the </w:t>
      </w:r>
      <w:r w:rsidRPr="00AB56A1">
        <w:rPr>
          <w:rFonts w:ascii="Times New Roman" w:hAnsi="Times New Roman"/>
          <w:sz w:val="24"/>
          <w:szCs w:val="24"/>
        </w:rPr>
        <w:t>means of production (work and capital), it is still the nationality that determines the income level, so the most important tool to</w:t>
      </w:r>
      <w:r w:rsidR="00205BDB" w:rsidRPr="00AB56A1">
        <w:rPr>
          <w:rFonts w:ascii="Times New Roman" w:hAnsi="Times New Roman"/>
          <w:sz w:val="24"/>
          <w:szCs w:val="24"/>
        </w:rPr>
        <w:t xml:space="preserve"> </w:t>
      </w:r>
      <w:r w:rsidRPr="00AB56A1">
        <w:rPr>
          <w:rFonts w:ascii="Times New Roman" w:hAnsi="Times New Roman"/>
          <w:sz w:val="24"/>
          <w:szCs w:val="24"/>
        </w:rPr>
        <w:t>eliminate life level differences</w:t>
      </w:r>
      <w:r w:rsidR="00205BDB" w:rsidRPr="00AB56A1">
        <w:rPr>
          <w:rFonts w:ascii="Times New Roman" w:hAnsi="Times New Roman"/>
          <w:sz w:val="24"/>
          <w:szCs w:val="24"/>
        </w:rPr>
        <w:t xml:space="preserve"> </w:t>
      </w:r>
      <w:r w:rsidRPr="00AB56A1">
        <w:rPr>
          <w:rFonts w:ascii="Times New Roman" w:hAnsi="Times New Roman"/>
          <w:sz w:val="24"/>
          <w:szCs w:val="24"/>
        </w:rPr>
        <w:t xml:space="preserve">in the EU is the convergence of </w:t>
      </w:r>
      <w:r w:rsidR="00C8388D">
        <w:rPr>
          <w:rFonts w:ascii="Times New Roman" w:hAnsi="Times New Roman"/>
          <w:sz w:val="24"/>
          <w:szCs w:val="24"/>
        </w:rPr>
        <w:t xml:space="preserve">the </w:t>
      </w:r>
      <w:r w:rsidRPr="00AB56A1">
        <w:rPr>
          <w:rFonts w:ascii="Times New Roman" w:hAnsi="Times New Roman"/>
          <w:sz w:val="24"/>
          <w:szCs w:val="24"/>
        </w:rPr>
        <w:t>national income level between the particular countries. One of the most important policy tools at the EU level emerges directly from such philosophy, i.e. the Cohesion Fund which can be used by regions with GDP pc. that does not exceed 75% of the mean for the EU.</w:t>
      </w:r>
    </w:p>
    <w:p w14:paraId="4BCAE4B3" w14:textId="77777777" w:rsidR="00C337AF" w:rsidRPr="00AB56A1" w:rsidRDefault="00C337AF" w:rsidP="00AB05A6">
      <w:pPr>
        <w:spacing w:after="0" w:line="360" w:lineRule="auto"/>
        <w:ind w:firstLine="708"/>
        <w:jc w:val="both"/>
        <w:rPr>
          <w:rFonts w:ascii="Times New Roman" w:eastAsia="Times New Roman" w:hAnsi="Times New Roman" w:cs="Times New Roman"/>
          <w:sz w:val="24"/>
          <w:szCs w:val="24"/>
        </w:rPr>
      </w:pPr>
    </w:p>
    <w:p w14:paraId="41B49300" w14:textId="77777777" w:rsidR="00C337AF" w:rsidRPr="00AB56A1" w:rsidRDefault="00C337AF"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Table 4. Salary dynamics (in %) in the EU countries from 1999 to 2008</w:t>
      </w:r>
    </w:p>
    <w:p w14:paraId="254125A7" w14:textId="6EB73B73" w:rsidR="00D22200" w:rsidRDefault="00C337AF" w:rsidP="00AB05A6">
      <w:pPr>
        <w:spacing w:after="0" w:line="360" w:lineRule="auto"/>
        <w:ind w:firstLine="708"/>
        <w:jc w:val="both"/>
      </w:pPr>
      <w:r w:rsidRPr="00AB56A1">
        <w:fldChar w:fldCharType="begin"/>
      </w:r>
      <w:r w:rsidRPr="00AB56A1">
        <w:instrText xml:space="preserve"> LINK </w:instrText>
      </w:r>
      <w:r w:rsidR="00D677DC">
        <w:instrText xml:space="preserve">Excel.Sheet.8 D:\\Raport\\dane_place_1999_2008.xls Data!W11K1:W38K12 </w:instrText>
      </w:r>
      <w:r w:rsidRPr="00AB56A1">
        <w:instrText xml:space="preserve">\a \f 4 \h </w:instrText>
      </w:r>
      <w:r w:rsidR="002C5CE7" w:rsidRPr="00AB56A1">
        <w:instrText xml:space="preserve"> \* MERGEFORMAT </w:instrText>
      </w:r>
      <w:r w:rsidRPr="00AB56A1">
        <w:fldChar w:fldCharType="separate"/>
      </w:r>
    </w:p>
    <w:tbl>
      <w:tblPr>
        <w:tblW w:w="9209" w:type="dxa"/>
        <w:tblCellMar>
          <w:left w:w="70" w:type="dxa"/>
          <w:right w:w="70" w:type="dxa"/>
        </w:tblCellMar>
        <w:tblLook w:val="04A0" w:firstRow="1" w:lastRow="0" w:firstColumn="1" w:lastColumn="0" w:noHBand="0" w:noVBand="1"/>
      </w:tblPr>
      <w:tblGrid>
        <w:gridCol w:w="1454"/>
        <w:gridCol w:w="640"/>
        <w:gridCol w:w="640"/>
        <w:gridCol w:w="640"/>
        <w:gridCol w:w="700"/>
        <w:gridCol w:w="700"/>
        <w:gridCol w:w="660"/>
        <w:gridCol w:w="620"/>
        <w:gridCol w:w="660"/>
        <w:gridCol w:w="680"/>
        <w:gridCol w:w="680"/>
        <w:gridCol w:w="1135"/>
      </w:tblGrid>
      <w:tr w:rsidR="00D22200" w:rsidRPr="00D22200" w14:paraId="6817A3E7" w14:textId="77777777" w:rsidTr="00D22200">
        <w:trPr>
          <w:divId w:val="339746552"/>
          <w:trHeight w:val="1050"/>
        </w:trPr>
        <w:tc>
          <w:tcPr>
            <w:tcW w:w="1454"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30170D9D" w14:textId="2899899D"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GEO/TIME</w:t>
            </w:r>
          </w:p>
        </w:tc>
        <w:tc>
          <w:tcPr>
            <w:tcW w:w="640" w:type="dxa"/>
            <w:tcBorders>
              <w:top w:val="single" w:sz="4" w:space="0" w:color="000000"/>
              <w:left w:val="nil"/>
              <w:bottom w:val="single" w:sz="4" w:space="0" w:color="000000"/>
              <w:right w:val="single" w:sz="4" w:space="0" w:color="000000"/>
            </w:tcBorders>
            <w:shd w:val="clear" w:color="000000" w:fill="99CCFF"/>
            <w:noWrap/>
            <w:vAlign w:val="bottom"/>
            <w:hideMark/>
          </w:tcPr>
          <w:p w14:paraId="7F72093D"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1999</w:t>
            </w:r>
          </w:p>
        </w:tc>
        <w:tc>
          <w:tcPr>
            <w:tcW w:w="640" w:type="dxa"/>
            <w:tcBorders>
              <w:top w:val="single" w:sz="4" w:space="0" w:color="000000"/>
              <w:left w:val="nil"/>
              <w:bottom w:val="single" w:sz="4" w:space="0" w:color="000000"/>
              <w:right w:val="single" w:sz="4" w:space="0" w:color="000000"/>
            </w:tcBorders>
            <w:shd w:val="clear" w:color="000000" w:fill="99CCFF"/>
            <w:noWrap/>
            <w:vAlign w:val="bottom"/>
            <w:hideMark/>
          </w:tcPr>
          <w:p w14:paraId="54D954C2"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2000</w:t>
            </w:r>
          </w:p>
        </w:tc>
        <w:tc>
          <w:tcPr>
            <w:tcW w:w="640" w:type="dxa"/>
            <w:tcBorders>
              <w:top w:val="single" w:sz="4" w:space="0" w:color="000000"/>
              <w:left w:val="nil"/>
              <w:bottom w:val="single" w:sz="4" w:space="0" w:color="000000"/>
              <w:right w:val="single" w:sz="4" w:space="0" w:color="000000"/>
            </w:tcBorders>
            <w:shd w:val="clear" w:color="000000" w:fill="99CCFF"/>
            <w:noWrap/>
            <w:vAlign w:val="bottom"/>
            <w:hideMark/>
          </w:tcPr>
          <w:p w14:paraId="30956A06"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2001</w:t>
            </w:r>
          </w:p>
        </w:tc>
        <w:tc>
          <w:tcPr>
            <w:tcW w:w="700" w:type="dxa"/>
            <w:tcBorders>
              <w:top w:val="single" w:sz="4" w:space="0" w:color="000000"/>
              <w:left w:val="nil"/>
              <w:bottom w:val="single" w:sz="4" w:space="0" w:color="000000"/>
              <w:right w:val="single" w:sz="4" w:space="0" w:color="000000"/>
            </w:tcBorders>
            <w:shd w:val="clear" w:color="000000" w:fill="99CCFF"/>
            <w:noWrap/>
            <w:vAlign w:val="bottom"/>
            <w:hideMark/>
          </w:tcPr>
          <w:p w14:paraId="6F112FF5"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2002</w:t>
            </w:r>
          </w:p>
        </w:tc>
        <w:tc>
          <w:tcPr>
            <w:tcW w:w="700" w:type="dxa"/>
            <w:tcBorders>
              <w:top w:val="single" w:sz="4" w:space="0" w:color="000000"/>
              <w:left w:val="nil"/>
              <w:bottom w:val="single" w:sz="4" w:space="0" w:color="000000"/>
              <w:right w:val="single" w:sz="4" w:space="0" w:color="000000"/>
            </w:tcBorders>
            <w:shd w:val="clear" w:color="000000" w:fill="99CCFF"/>
            <w:noWrap/>
            <w:vAlign w:val="bottom"/>
            <w:hideMark/>
          </w:tcPr>
          <w:p w14:paraId="0169CAA9"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2003</w:t>
            </w:r>
          </w:p>
        </w:tc>
        <w:tc>
          <w:tcPr>
            <w:tcW w:w="660" w:type="dxa"/>
            <w:tcBorders>
              <w:top w:val="single" w:sz="4" w:space="0" w:color="000000"/>
              <w:left w:val="nil"/>
              <w:bottom w:val="single" w:sz="4" w:space="0" w:color="000000"/>
              <w:right w:val="single" w:sz="4" w:space="0" w:color="000000"/>
            </w:tcBorders>
            <w:shd w:val="clear" w:color="000000" w:fill="99CCFF"/>
            <w:noWrap/>
            <w:vAlign w:val="bottom"/>
            <w:hideMark/>
          </w:tcPr>
          <w:p w14:paraId="52906439"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2004</w:t>
            </w:r>
          </w:p>
        </w:tc>
        <w:tc>
          <w:tcPr>
            <w:tcW w:w="620" w:type="dxa"/>
            <w:tcBorders>
              <w:top w:val="single" w:sz="4" w:space="0" w:color="000000"/>
              <w:left w:val="nil"/>
              <w:bottom w:val="single" w:sz="4" w:space="0" w:color="000000"/>
              <w:right w:val="single" w:sz="4" w:space="0" w:color="000000"/>
            </w:tcBorders>
            <w:shd w:val="clear" w:color="000000" w:fill="99CCFF"/>
            <w:noWrap/>
            <w:vAlign w:val="bottom"/>
            <w:hideMark/>
          </w:tcPr>
          <w:p w14:paraId="0861CCB5"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2005</w:t>
            </w:r>
          </w:p>
        </w:tc>
        <w:tc>
          <w:tcPr>
            <w:tcW w:w="660" w:type="dxa"/>
            <w:tcBorders>
              <w:top w:val="single" w:sz="4" w:space="0" w:color="000000"/>
              <w:left w:val="nil"/>
              <w:bottom w:val="single" w:sz="4" w:space="0" w:color="000000"/>
              <w:right w:val="single" w:sz="4" w:space="0" w:color="000000"/>
            </w:tcBorders>
            <w:shd w:val="clear" w:color="000000" w:fill="99CCFF"/>
            <w:noWrap/>
            <w:vAlign w:val="bottom"/>
            <w:hideMark/>
          </w:tcPr>
          <w:p w14:paraId="2AF6ED35"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2006</w:t>
            </w:r>
          </w:p>
        </w:tc>
        <w:tc>
          <w:tcPr>
            <w:tcW w:w="680" w:type="dxa"/>
            <w:tcBorders>
              <w:top w:val="single" w:sz="4" w:space="0" w:color="000000"/>
              <w:left w:val="nil"/>
              <w:bottom w:val="single" w:sz="4" w:space="0" w:color="000000"/>
              <w:right w:val="single" w:sz="4" w:space="0" w:color="000000"/>
            </w:tcBorders>
            <w:shd w:val="clear" w:color="000000" w:fill="99CCFF"/>
            <w:noWrap/>
            <w:vAlign w:val="bottom"/>
            <w:hideMark/>
          </w:tcPr>
          <w:p w14:paraId="5DF6DF99"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2007</w:t>
            </w:r>
          </w:p>
        </w:tc>
        <w:tc>
          <w:tcPr>
            <w:tcW w:w="680" w:type="dxa"/>
            <w:tcBorders>
              <w:top w:val="single" w:sz="4" w:space="0" w:color="000000"/>
              <w:left w:val="nil"/>
              <w:bottom w:val="single" w:sz="4" w:space="0" w:color="000000"/>
              <w:right w:val="single" w:sz="4" w:space="0" w:color="000000"/>
            </w:tcBorders>
            <w:shd w:val="clear" w:color="000000" w:fill="99CCFF"/>
            <w:noWrap/>
            <w:vAlign w:val="bottom"/>
            <w:hideMark/>
          </w:tcPr>
          <w:p w14:paraId="62ECC626"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2008</w:t>
            </w:r>
          </w:p>
        </w:tc>
        <w:tc>
          <w:tcPr>
            <w:tcW w:w="1135" w:type="dxa"/>
            <w:tcBorders>
              <w:top w:val="single" w:sz="4" w:space="0" w:color="000000"/>
              <w:left w:val="nil"/>
              <w:bottom w:val="single" w:sz="4" w:space="0" w:color="000000"/>
              <w:right w:val="single" w:sz="4" w:space="0" w:color="000000"/>
            </w:tcBorders>
            <w:shd w:val="clear" w:color="000000" w:fill="99CCFF"/>
            <w:vAlign w:val="bottom"/>
            <w:hideMark/>
          </w:tcPr>
          <w:p w14:paraId="307A8A47" w14:textId="50408414" w:rsidR="00D22200" w:rsidRPr="00D22200" w:rsidRDefault="00AB05A6" w:rsidP="00AB05A6">
            <w:pPr>
              <w:spacing w:after="0" w:line="360" w:lineRule="auto"/>
              <w:rPr>
                <w:rFonts w:ascii="Arial" w:eastAsia="Times New Roman" w:hAnsi="Arial" w:cs="Arial"/>
                <w:sz w:val="20"/>
                <w:szCs w:val="20"/>
              </w:rPr>
            </w:pPr>
            <w:r>
              <w:rPr>
                <w:rFonts w:ascii="Arial" w:eastAsia="Times New Roman" w:hAnsi="Arial" w:cs="Arial"/>
                <w:sz w:val="20"/>
                <w:szCs w:val="20"/>
              </w:rPr>
              <w:t>Total growth in years</w:t>
            </w:r>
            <w:r w:rsidR="00D22200" w:rsidRPr="00D22200">
              <w:rPr>
                <w:rFonts w:ascii="Arial" w:eastAsia="Times New Roman" w:hAnsi="Arial" w:cs="Arial"/>
                <w:sz w:val="20"/>
                <w:szCs w:val="20"/>
              </w:rPr>
              <w:t xml:space="preserve"> 1999-2008</w:t>
            </w:r>
          </w:p>
        </w:tc>
      </w:tr>
      <w:tr w:rsidR="00D22200" w:rsidRPr="00D22200" w14:paraId="7A94721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6DF7B426"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Belgium</w:t>
            </w:r>
          </w:p>
        </w:tc>
        <w:tc>
          <w:tcPr>
            <w:tcW w:w="640" w:type="dxa"/>
            <w:tcBorders>
              <w:top w:val="nil"/>
              <w:left w:val="nil"/>
              <w:bottom w:val="single" w:sz="4" w:space="0" w:color="000000"/>
              <w:right w:val="single" w:sz="4" w:space="0" w:color="000000"/>
            </w:tcBorders>
            <w:shd w:val="clear" w:color="auto" w:fill="auto"/>
            <w:noWrap/>
            <w:vAlign w:val="bottom"/>
            <w:hideMark/>
          </w:tcPr>
          <w:p w14:paraId="52C710D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3,0</w:t>
            </w:r>
          </w:p>
        </w:tc>
        <w:tc>
          <w:tcPr>
            <w:tcW w:w="640" w:type="dxa"/>
            <w:tcBorders>
              <w:top w:val="nil"/>
              <w:left w:val="nil"/>
              <w:bottom w:val="single" w:sz="4" w:space="0" w:color="000000"/>
              <w:right w:val="single" w:sz="4" w:space="0" w:color="000000"/>
            </w:tcBorders>
            <w:shd w:val="clear" w:color="auto" w:fill="auto"/>
            <w:noWrap/>
            <w:vAlign w:val="bottom"/>
            <w:hideMark/>
          </w:tcPr>
          <w:p w14:paraId="39DDC57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1,9</w:t>
            </w:r>
          </w:p>
        </w:tc>
        <w:tc>
          <w:tcPr>
            <w:tcW w:w="640" w:type="dxa"/>
            <w:tcBorders>
              <w:top w:val="nil"/>
              <w:left w:val="nil"/>
              <w:bottom w:val="single" w:sz="4" w:space="0" w:color="000000"/>
              <w:right w:val="single" w:sz="4" w:space="0" w:color="000000"/>
            </w:tcBorders>
            <w:shd w:val="clear" w:color="auto" w:fill="auto"/>
            <w:noWrap/>
            <w:vAlign w:val="bottom"/>
            <w:hideMark/>
          </w:tcPr>
          <w:p w14:paraId="0BED83B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5,2</w:t>
            </w:r>
          </w:p>
        </w:tc>
        <w:tc>
          <w:tcPr>
            <w:tcW w:w="700" w:type="dxa"/>
            <w:tcBorders>
              <w:top w:val="nil"/>
              <w:left w:val="nil"/>
              <w:bottom w:val="single" w:sz="4" w:space="0" w:color="000000"/>
              <w:right w:val="single" w:sz="4" w:space="0" w:color="000000"/>
            </w:tcBorders>
            <w:shd w:val="clear" w:color="auto" w:fill="auto"/>
            <w:noWrap/>
            <w:vAlign w:val="bottom"/>
            <w:hideMark/>
          </w:tcPr>
          <w:p w14:paraId="31E36F6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4,4</w:t>
            </w:r>
          </w:p>
        </w:tc>
        <w:tc>
          <w:tcPr>
            <w:tcW w:w="700" w:type="dxa"/>
            <w:tcBorders>
              <w:top w:val="nil"/>
              <w:left w:val="nil"/>
              <w:bottom w:val="single" w:sz="4" w:space="0" w:color="000000"/>
              <w:right w:val="single" w:sz="4" w:space="0" w:color="000000"/>
            </w:tcBorders>
            <w:shd w:val="clear" w:color="auto" w:fill="auto"/>
            <w:noWrap/>
            <w:vAlign w:val="bottom"/>
            <w:hideMark/>
          </w:tcPr>
          <w:p w14:paraId="7D36A84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1,9</w:t>
            </w:r>
          </w:p>
        </w:tc>
        <w:tc>
          <w:tcPr>
            <w:tcW w:w="660" w:type="dxa"/>
            <w:tcBorders>
              <w:top w:val="nil"/>
              <w:left w:val="nil"/>
              <w:bottom w:val="single" w:sz="4" w:space="0" w:color="000000"/>
              <w:right w:val="single" w:sz="4" w:space="0" w:color="000000"/>
            </w:tcBorders>
            <w:shd w:val="clear" w:color="auto" w:fill="auto"/>
            <w:noWrap/>
            <w:vAlign w:val="bottom"/>
            <w:hideMark/>
          </w:tcPr>
          <w:p w14:paraId="34E2730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w:t>
            </w:r>
          </w:p>
        </w:tc>
        <w:tc>
          <w:tcPr>
            <w:tcW w:w="620" w:type="dxa"/>
            <w:tcBorders>
              <w:top w:val="nil"/>
              <w:left w:val="nil"/>
              <w:bottom w:val="single" w:sz="4" w:space="0" w:color="000000"/>
              <w:right w:val="single" w:sz="4" w:space="0" w:color="000000"/>
            </w:tcBorders>
            <w:shd w:val="clear" w:color="auto" w:fill="auto"/>
            <w:noWrap/>
            <w:vAlign w:val="bottom"/>
            <w:hideMark/>
          </w:tcPr>
          <w:p w14:paraId="6E6489A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2,5</w:t>
            </w:r>
          </w:p>
        </w:tc>
        <w:tc>
          <w:tcPr>
            <w:tcW w:w="660" w:type="dxa"/>
            <w:tcBorders>
              <w:top w:val="nil"/>
              <w:left w:val="nil"/>
              <w:bottom w:val="single" w:sz="4" w:space="0" w:color="000000"/>
              <w:right w:val="single" w:sz="4" w:space="0" w:color="000000"/>
            </w:tcBorders>
            <w:shd w:val="clear" w:color="auto" w:fill="auto"/>
            <w:noWrap/>
            <w:vAlign w:val="bottom"/>
            <w:hideMark/>
          </w:tcPr>
          <w:p w14:paraId="22025E0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680" w:type="dxa"/>
            <w:tcBorders>
              <w:top w:val="nil"/>
              <w:left w:val="nil"/>
              <w:bottom w:val="single" w:sz="4" w:space="0" w:color="000000"/>
              <w:right w:val="single" w:sz="4" w:space="0" w:color="000000"/>
            </w:tcBorders>
            <w:shd w:val="clear" w:color="auto" w:fill="auto"/>
            <w:noWrap/>
            <w:vAlign w:val="bottom"/>
            <w:hideMark/>
          </w:tcPr>
          <w:p w14:paraId="4FDF1F8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680" w:type="dxa"/>
            <w:tcBorders>
              <w:top w:val="nil"/>
              <w:left w:val="nil"/>
              <w:bottom w:val="single" w:sz="4" w:space="0" w:color="000000"/>
              <w:right w:val="single" w:sz="4" w:space="0" w:color="000000"/>
            </w:tcBorders>
            <w:shd w:val="clear" w:color="auto" w:fill="auto"/>
            <w:noWrap/>
            <w:vAlign w:val="bottom"/>
            <w:hideMark/>
          </w:tcPr>
          <w:p w14:paraId="3DC9026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3,1</w:t>
            </w:r>
          </w:p>
        </w:tc>
        <w:tc>
          <w:tcPr>
            <w:tcW w:w="1135" w:type="dxa"/>
            <w:tcBorders>
              <w:top w:val="nil"/>
              <w:left w:val="nil"/>
              <w:bottom w:val="single" w:sz="4" w:space="0" w:color="000000"/>
              <w:right w:val="single" w:sz="4" w:space="0" w:color="000000"/>
            </w:tcBorders>
            <w:shd w:val="clear" w:color="auto" w:fill="auto"/>
            <w:noWrap/>
            <w:vAlign w:val="bottom"/>
            <w:hideMark/>
          </w:tcPr>
          <w:p w14:paraId="636D7E55"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35,24</w:t>
            </w:r>
          </w:p>
        </w:tc>
      </w:tr>
      <w:tr w:rsidR="00D22200" w:rsidRPr="00D22200" w14:paraId="761D467E"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2BE90BA9"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Bulgaria</w:t>
            </w:r>
          </w:p>
        </w:tc>
        <w:tc>
          <w:tcPr>
            <w:tcW w:w="640" w:type="dxa"/>
            <w:tcBorders>
              <w:top w:val="nil"/>
              <w:left w:val="nil"/>
              <w:bottom w:val="single" w:sz="4" w:space="0" w:color="000000"/>
              <w:right w:val="single" w:sz="4" w:space="0" w:color="000000"/>
            </w:tcBorders>
            <w:shd w:val="clear" w:color="auto" w:fill="auto"/>
            <w:noWrap/>
            <w:vAlign w:val="bottom"/>
            <w:hideMark/>
          </w:tcPr>
          <w:p w14:paraId="2671144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10,6</w:t>
            </w:r>
          </w:p>
        </w:tc>
        <w:tc>
          <w:tcPr>
            <w:tcW w:w="640" w:type="dxa"/>
            <w:tcBorders>
              <w:top w:val="nil"/>
              <w:left w:val="nil"/>
              <w:bottom w:val="single" w:sz="4" w:space="0" w:color="000000"/>
              <w:right w:val="single" w:sz="4" w:space="0" w:color="000000"/>
            </w:tcBorders>
            <w:shd w:val="clear" w:color="auto" w:fill="auto"/>
            <w:noWrap/>
            <w:vAlign w:val="bottom"/>
            <w:hideMark/>
          </w:tcPr>
          <w:p w14:paraId="5B22F4D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11,5</w:t>
            </w:r>
          </w:p>
        </w:tc>
        <w:tc>
          <w:tcPr>
            <w:tcW w:w="640" w:type="dxa"/>
            <w:tcBorders>
              <w:top w:val="nil"/>
              <w:left w:val="nil"/>
              <w:bottom w:val="single" w:sz="4" w:space="0" w:color="000000"/>
              <w:right w:val="single" w:sz="4" w:space="0" w:color="000000"/>
            </w:tcBorders>
            <w:shd w:val="clear" w:color="auto" w:fill="auto"/>
            <w:noWrap/>
            <w:vAlign w:val="bottom"/>
            <w:hideMark/>
          </w:tcPr>
          <w:p w14:paraId="671836F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8,8</w:t>
            </w:r>
          </w:p>
        </w:tc>
        <w:tc>
          <w:tcPr>
            <w:tcW w:w="700" w:type="dxa"/>
            <w:tcBorders>
              <w:top w:val="nil"/>
              <w:left w:val="nil"/>
              <w:bottom w:val="single" w:sz="4" w:space="0" w:color="000000"/>
              <w:right w:val="single" w:sz="4" w:space="0" w:color="000000"/>
            </w:tcBorders>
            <w:shd w:val="clear" w:color="auto" w:fill="auto"/>
            <w:noWrap/>
            <w:vAlign w:val="bottom"/>
            <w:hideMark/>
          </w:tcPr>
          <w:p w14:paraId="2701B7E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3,1</w:t>
            </w:r>
          </w:p>
        </w:tc>
        <w:tc>
          <w:tcPr>
            <w:tcW w:w="700" w:type="dxa"/>
            <w:tcBorders>
              <w:top w:val="nil"/>
              <w:left w:val="nil"/>
              <w:bottom w:val="single" w:sz="4" w:space="0" w:color="000000"/>
              <w:right w:val="single" w:sz="4" w:space="0" w:color="000000"/>
            </w:tcBorders>
            <w:shd w:val="clear" w:color="auto" w:fill="auto"/>
            <w:noWrap/>
            <w:vAlign w:val="bottom"/>
            <w:hideMark/>
          </w:tcPr>
          <w:p w14:paraId="07F8599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7,1</w:t>
            </w:r>
          </w:p>
        </w:tc>
        <w:tc>
          <w:tcPr>
            <w:tcW w:w="660" w:type="dxa"/>
            <w:tcBorders>
              <w:top w:val="nil"/>
              <w:left w:val="nil"/>
              <w:bottom w:val="single" w:sz="4" w:space="0" w:color="000000"/>
              <w:right w:val="single" w:sz="4" w:space="0" w:color="000000"/>
            </w:tcBorders>
            <w:shd w:val="clear" w:color="auto" w:fill="auto"/>
            <w:noWrap/>
            <w:vAlign w:val="bottom"/>
            <w:hideMark/>
          </w:tcPr>
          <w:p w14:paraId="5D92567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4,7</w:t>
            </w:r>
          </w:p>
        </w:tc>
        <w:tc>
          <w:tcPr>
            <w:tcW w:w="620" w:type="dxa"/>
            <w:tcBorders>
              <w:top w:val="nil"/>
              <w:left w:val="nil"/>
              <w:bottom w:val="single" w:sz="4" w:space="0" w:color="000000"/>
              <w:right w:val="single" w:sz="4" w:space="0" w:color="000000"/>
            </w:tcBorders>
            <w:shd w:val="clear" w:color="auto" w:fill="auto"/>
            <w:noWrap/>
            <w:vAlign w:val="bottom"/>
            <w:hideMark/>
          </w:tcPr>
          <w:p w14:paraId="520CE8A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5,7</w:t>
            </w:r>
          </w:p>
        </w:tc>
        <w:tc>
          <w:tcPr>
            <w:tcW w:w="660" w:type="dxa"/>
            <w:tcBorders>
              <w:top w:val="nil"/>
              <w:left w:val="nil"/>
              <w:bottom w:val="single" w:sz="4" w:space="0" w:color="000000"/>
              <w:right w:val="single" w:sz="4" w:space="0" w:color="000000"/>
            </w:tcBorders>
            <w:shd w:val="clear" w:color="auto" w:fill="auto"/>
            <w:noWrap/>
            <w:vAlign w:val="bottom"/>
            <w:hideMark/>
          </w:tcPr>
          <w:p w14:paraId="54472AE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5,5</w:t>
            </w:r>
          </w:p>
        </w:tc>
        <w:tc>
          <w:tcPr>
            <w:tcW w:w="680" w:type="dxa"/>
            <w:tcBorders>
              <w:top w:val="nil"/>
              <w:left w:val="nil"/>
              <w:bottom w:val="single" w:sz="4" w:space="0" w:color="000000"/>
              <w:right w:val="single" w:sz="4" w:space="0" w:color="000000"/>
            </w:tcBorders>
            <w:shd w:val="clear" w:color="auto" w:fill="auto"/>
            <w:noWrap/>
            <w:vAlign w:val="bottom"/>
            <w:hideMark/>
          </w:tcPr>
          <w:p w14:paraId="4946F6D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17,5</w:t>
            </w:r>
          </w:p>
        </w:tc>
        <w:tc>
          <w:tcPr>
            <w:tcW w:w="680" w:type="dxa"/>
            <w:tcBorders>
              <w:top w:val="nil"/>
              <w:left w:val="nil"/>
              <w:bottom w:val="single" w:sz="4" w:space="0" w:color="000000"/>
              <w:right w:val="single" w:sz="4" w:space="0" w:color="000000"/>
            </w:tcBorders>
            <w:shd w:val="clear" w:color="auto" w:fill="auto"/>
            <w:noWrap/>
            <w:vAlign w:val="bottom"/>
            <w:hideMark/>
          </w:tcPr>
          <w:p w14:paraId="4278F5D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19,4</w:t>
            </w:r>
          </w:p>
        </w:tc>
        <w:tc>
          <w:tcPr>
            <w:tcW w:w="1135" w:type="dxa"/>
            <w:tcBorders>
              <w:top w:val="nil"/>
              <w:left w:val="nil"/>
              <w:bottom w:val="single" w:sz="4" w:space="0" w:color="000000"/>
              <w:right w:val="single" w:sz="4" w:space="0" w:color="000000"/>
            </w:tcBorders>
            <w:shd w:val="clear" w:color="auto" w:fill="auto"/>
            <w:noWrap/>
            <w:vAlign w:val="bottom"/>
            <w:hideMark/>
          </w:tcPr>
          <w:p w14:paraId="357C217B"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142,67</w:t>
            </w:r>
          </w:p>
        </w:tc>
      </w:tr>
      <w:tr w:rsidR="00D22200" w:rsidRPr="00D22200" w14:paraId="30566B6E"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5C2655AB" w14:textId="77777777" w:rsidR="00D22200" w:rsidRPr="00D22200" w:rsidRDefault="00D22200" w:rsidP="00AB05A6">
            <w:pPr>
              <w:spacing w:after="0" w:line="360" w:lineRule="auto"/>
              <w:rPr>
                <w:rFonts w:ascii="Arial" w:eastAsia="Times New Roman" w:hAnsi="Arial" w:cs="Arial"/>
                <w:sz w:val="20"/>
                <w:szCs w:val="20"/>
              </w:rPr>
            </w:pPr>
            <w:proofErr w:type="spellStart"/>
            <w:r w:rsidRPr="00D22200">
              <w:rPr>
                <w:rFonts w:ascii="Arial" w:eastAsia="Times New Roman" w:hAnsi="Arial" w:cs="Arial"/>
                <w:sz w:val="20"/>
                <w:szCs w:val="20"/>
              </w:rPr>
              <w:t>Czechia</w:t>
            </w:r>
            <w:proofErr w:type="spellEnd"/>
          </w:p>
        </w:tc>
        <w:tc>
          <w:tcPr>
            <w:tcW w:w="640" w:type="dxa"/>
            <w:tcBorders>
              <w:top w:val="nil"/>
              <w:left w:val="nil"/>
              <w:bottom w:val="single" w:sz="4" w:space="0" w:color="000000"/>
              <w:right w:val="single" w:sz="4" w:space="0" w:color="000000"/>
            </w:tcBorders>
            <w:shd w:val="clear" w:color="auto" w:fill="auto"/>
            <w:noWrap/>
            <w:vAlign w:val="bottom"/>
            <w:hideMark/>
          </w:tcPr>
          <w:p w14:paraId="45B171B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5,4</w:t>
            </w:r>
          </w:p>
        </w:tc>
        <w:tc>
          <w:tcPr>
            <w:tcW w:w="640" w:type="dxa"/>
            <w:tcBorders>
              <w:top w:val="nil"/>
              <w:left w:val="nil"/>
              <w:bottom w:val="single" w:sz="4" w:space="0" w:color="000000"/>
              <w:right w:val="single" w:sz="4" w:space="0" w:color="000000"/>
            </w:tcBorders>
            <w:shd w:val="clear" w:color="auto" w:fill="auto"/>
            <w:noWrap/>
            <w:vAlign w:val="bottom"/>
            <w:hideMark/>
          </w:tcPr>
          <w:p w14:paraId="436539B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7,6</w:t>
            </w:r>
          </w:p>
        </w:tc>
        <w:tc>
          <w:tcPr>
            <w:tcW w:w="640" w:type="dxa"/>
            <w:tcBorders>
              <w:top w:val="nil"/>
              <w:left w:val="nil"/>
              <w:bottom w:val="single" w:sz="4" w:space="0" w:color="000000"/>
              <w:right w:val="single" w:sz="4" w:space="0" w:color="000000"/>
            </w:tcBorders>
            <w:shd w:val="clear" w:color="auto" w:fill="auto"/>
            <w:noWrap/>
            <w:vAlign w:val="bottom"/>
            <w:hideMark/>
          </w:tcPr>
          <w:p w14:paraId="1D6454C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12,3</w:t>
            </w:r>
          </w:p>
        </w:tc>
        <w:tc>
          <w:tcPr>
            <w:tcW w:w="700" w:type="dxa"/>
            <w:tcBorders>
              <w:top w:val="nil"/>
              <w:left w:val="nil"/>
              <w:bottom w:val="single" w:sz="4" w:space="0" w:color="000000"/>
              <w:right w:val="single" w:sz="4" w:space="0" w:color="000000"/>
            </w:tcBorders>
            <w:shd w:val="clear" w:color="auto" w:fill="auto"/>
            <w:noWrap/>
            <w:vAlign w:val="bottom"/>
            <w:hideMark/>
          </w:tcPr>
          <w:p w14:paraId="2D15700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7,5</w:t>
            </w:r>
          </w:p>
        </w:tc>
        <w:tc>
          <w:tcPr>
            <w:tcW w:w="700" w:type="dxa"/>
            <w:tcBorders>
              <w:top w:val="nil"/>
              <w:left w:val="nil"/>
              <w:bottom w:val="single" w:sz="4" w:space="0" w:color="000000"/>
              <w:right w:val="single" w:sz="4" w:space="0" w:color="000000"/>
            </w:tcBorders>
            <w:shd w:val="clear" w:color="auto" w:fill="auto"/>
            <w:noWrap/>
            <w:vAlign w:val="bottom"/>
            <w:hideMark/>
          </w:tcPr>
          <w:p w14:paraId="2A784BB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5,7</w:t>
            </w:r>
          </w:p>
        </w:tc>
        <w:tc>
          <w:tcPr>
            <w:tcW w:w="660" w:type="dxa"/>
            <w:tcBorders>
              <w:top w:val="nil"/>
              <w:left w:val="nil"/>
              <w:bottom w:val="single" w:sz="4" w:space="0" w:color="000000"/>
              <w:right w:val="single" w:sz="4" w:space="0" w:color="000000"/>
            </w:tcBorders>
            <w:shd w:val="clear" w:color="auto" w:fill="auto"/>
            <w:noWrap/>
            <w:vAlign w:val="bottom"/>
            <w:hideMark/>
          </w:tcPr>
          <w:p w14:paraId="63FD464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6,2</w:t>
            </w:r>
          </w:p>
        </w:tc>
        <w:tc>
          <w:tcPr>
            <w:tcW w:w="620" w:type="dxa"/>
            <w:tcBorders>
              <w:top w:val="nil"/>
              <w:left w:val="nil"/>
              <w:bottom w:val="single" w:sz="4" w:space="0" w:color="000000"/>
              <w:right w:val="single" w:sz="4" w:space="0" w:color="000000"/>
            </w:tcBorders>
            <w:shd w:val="clear" w:color="auto" w:fill="auto"/>
            <w:noWrap/>
            <w:vAlign w:val="bottom"/>
            <w:hideMark/>
          </w:tcPr>
          <w:p w14:paraId="067EF93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60" w:type="dxa"/>
            <w:tcBorders>
              <w:top w:val="nil"/>
              <w:left w:val="nil"/>
              <w:bottom w:val="single" w:sz="4" w:space="0" w:color="000000"/>
              <w:right w:val="single" w:sz="4" w:space="0" w:color="000000"/>
            </w:tcBorders>
            <w:shd w:val="clear" w:color="auto" w:fill="auto"/>
            <w:noWrap/>
            <w:vAlign w:val="bottom"/>
            <w:hideMark/>
          </w:tcPr>
          <w:p w14:paraId="502BE63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6,4</w:t>
            </w:r>
          </w:p>
        </w:tc>
        <w:tc>
          <w:tcPr>
            <w:tcW w:w="680" w:type="dxa"/>
            <w:tcBorders>
              <w:top w:val="nil"/>
              <w:left w:val="nil"/>
              <w:bottom w:val="single" w:sz="4" w:space="0" w:color="000000"/>
              <w:right w:val="single" w:sz="4" w:space="0" w:color="000000"/>
            </w:tcBorders>
            <w:shd w:val="clear" w:color="auto" w:fill="auto"/>
            <w:noWrap/>
            <w:vAlign w:val="bottom"/>
            <w:hideMark/>
          </w:tcPr>
          <w:p w14:paraId="3F2B6BA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7,9</w:t>
            </w:r>
          </w:p>
        </w:tc>
        <w:tc>
          <w:tcPr>
            <w:tcW w:w="680" w:type="dxa"/>
            <w:tcBorders>
              <w:top w:val="nil"/>
              <w:left w:val="nil"/>
              <w:bottom w:val="single" w:sz="4" w:space="0" w:color="000000"/>
              <w:right w:val="single" w:sz="4" w:space="0" w:color="000000"/>
            </w:tcBorders>
            <w:shd w:val="clear" w:color="auto" w:fill="auto"/>
            <w:noWrap/>
            <w:vAlign w:val="bottom"/>
            <w:hideMark/>
          </w:tcPr>
          <w:p w14:paraId="7FCE9F5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7,9</w:t>
            </w:r>
          </w:p>
        </w:tc>
        <w:tc>
          <w:tcPr>
            <w:tcW w:w="1135" w:type="dxa"/>
            <w:tcBorders>
              <w:top w:val="nil"/>
              <w:left w:val="nil"/>
              <w:bottom w:val="single" w:sz="4" w:space="0" w:color="000000"/>
              <w:right w:val="single" w:sz="4" w:space="0" w:color="000000"/>
            </w:tcBorders>
            <w:shd w:val="clear" w:color="auto" w:fill="auto"/>
            <w:noWrap/>
            <w:vAlign w:val="bottom"/>
            <w:hideMark/>
          </w:tcPr>
          <w:p w14:paraId="34C2CD9A"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97,05</w:t>
            </w:r>
          </w:p>
        </w:tc>
      </w:tr>
      <w:tr w:rsidR="00D22200" w:rsidRPr="00D22200" w14:paraId="371AE044"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7E6436AB"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Denmark</w:t>
            </w:r>
          </w:p>
        </w:tc>
        <w:tc>
          <w:tcPr>
            <w:tcW w:w="640" w:type="dxa"/>
            <w:tcBorders>
              <w:top w:val="nil"/>
              <w:left w:val="nil"/>
              <w:bottom w:val="single" w:sz="4" w:space="0" w:color="000000"/>
              <w:right w:val="single" w:sz="4" w:space="0" w:color="000000"/>
            </w:tcBorders>
            <w:shd w:val="clear" w:color="auto" w:fill="auto"/>
            <w:noWrap/>
            <w:vAlign w:val="bottom"/>
            <w:hideMark/>
          </w:tcPr>
          <w:p w14:paraId="65924AE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640" w:type="dxa"/>
            <w:tcBorders>
              <w:top w:val="nil"/>
              <w:left w:val="nil"/>
              <w:bottom w:val="single" w:sz="4" w:space="0" w:color="000000"/>
              <w:right w:val="single" w:sz="4" w:space="0" w:color="000000"/>
            </w:tcBorders>
            <w:shd w:val="clear" w:color="auto" w:fill="auto"/>
            <w:noWrap/>
            <w:vAlign w:val="bottom"/>
            <w:hideMark/>
          </w:tcPr>
          <w:p w14:paraId="3850B22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4,2</w:t>
            </w:r>
          </w:p>
        </w:tc>
        <w:tc>
          <w:tcPr>
            <w:tcW w:w="640" w:type="dxa"/>
            <w:tcBorders>
              <w:top w:val="nil"/>
              <w:left w:val="nil"/>
              <w:bottom w:val="single" w:sz="4" w:space="0" w:color="000000"/>
              <w:right w:val="single" w:sz="4" w:space="0" w:color="000000"/>
            </w:tcBorders>
            <w:shd w:val="clear" w:color="auto" w:fill="auto"/>
            <w:noWrap/>
            <w:vAlign w:val="bottom"/>
            <w:hideMark/>
          </w:tcPr>
          <w:p w14:paraId="0AD0208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4,5</w:t>
            </w:r>
          </w:p>
        </w:tc>
        <w:tc>
          <w:tcPr>
            <w:tcW w:w="700" w:type="dxa"/>
            <w:tcBorders>
              <w:top w:val="nil"/>
              <w:left w:val="nil"/>
              <w:bottom w:val="single" w:sz="4" w:space="0" w:color="000000"/>
              <w:right w:val="single" w:sz="4" w:space="0" w:color="000000"/>
            </w:tcBorders>
            <w:shd w:val="clear" w:color="auto" w:fill="auto"/>
            <w:noWrap/>
            <w:vAlign w:val="bottom"/>
            <w:hideMark/>
          </w:tcPr>
          <w:p w14:paraId="6D7D572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700" w:type="dxa"/>
            <w:tcBorders>
              <w:top w:val="nil"/>
              <w:left w:val="nil"/>
              <w:bottom w:val="single" w:sz="4" w:space="0" w:color="000000"/>
              <w:right w:val="single" w:sz="4" w:space="0" w:color="000000"/>
            </w:tcBorders>
            <w:shd w:val="clear" w:color="auto" w:fill="auto"/>
            <w:noWrap/>
            <w:vAlign w:val="bottom"/>
            <w:hideMark/>
          </w:tcPr>
          <w:p w14:paraId="7C863BA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60" w:type="dxa"/>
            <w:tcBorders>
              <w:top w:val="nil"/>
              <w:left w:val="nil"/>
              <w:bottom w:val="single" w:sz="4" w:space="0" w:color="000000"/>
              <w:right w:val="single" w:sz="4" w:space="0" w:color="000000"/>
            </w:tcBorders>
            <w:shd w:val="clear" w:color="auto" w:fill="auto"/>
            <w:noWrap/>
            <w:vAlign w:val="bottom"/>
            <w:hideMark/>
          </w:tcPr>
          <w:p w14:paraId="44AB5B7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3,3</w:t>
            </w:r>
          </w:p>
        </w:tc>
        <w:tc>
          <w:tcPr>
            <w:tcW w:w="620" w:type="dxa"/>
            <w:tcBorders>
              <w:top w:val="nil"/>
              <w:left w:val="nil"/>
              <w:bottom w:val="single" w:sz="4" w:space="0" w:color="000000"/>
              <w:right w:val="single" w:sz="4" w:space="0" w:color="000000"/>
            </w:tcBorders>
            <w:shd w:val="clear" w:color="auto" w:fill="auto"/>
            <w:noWrap/>
            <w:vAlign w:val="bottom"/>
            <w:hideMark/>
          </w:tcPr>
          <w:p w14:paraId="7CE1EB4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3,0</w:t>
            </w:r>
          </w:p>
        </w:tc>
        <w:tc>
          <w:tcPr>
            <w:tcW w:w="660" w:type="dxa"/>
            <w:tcBorders>
              <w:top w:val="nil"/>
              <w:left w:val="nil"/>
              <w:bottom w:val="single" w:sz="4" w:space="0" w:color="000000"/>
              <w:right w:val="single" w:sz="4" w:space="0" w:color="000000"/>
            </w:tcBorders>
            <w:shd w:val="clear" w:color="auto" w:fill="auto"/>
            <w:noWrap/>
            <w:vAlign w:val="bottom"/>
            <w:hideMark/>
          </w:tcPr>
          <w:p w14:paraId="020C025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2,9</w:t>
            </w:r>
          </w:p>
        </w:tc>
        <w:tc>
          <w:tcPr>
            <w:tcW w:w="680" w:type="dxa"/>
            <w:tcBorders>
              <w:top w:val="nil"/>
              <w:left w:val="nil"/>
              <w:bottom w:val="single" w:sz="4" w:space="0" w:color="000000"/>
              <w:right w:val="single" w:sz="4" w:space="0" w:color="000000"/>
            </w:tcBorders>
            <w:shd w:val="clear" w:color="auto" w:fill="auto"/>
            <w:noWrap/>
            <w:vAlign w:val="bottom"/>
            <w:hideMark/>
          </w:tcPr>
          <w:p w14:paraId="21C1E3A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80" w:type="dxa"/>
            <w:tcBorders>
              <w:top w:val="nil"/>
              <w:left w:val="nil"/>
              <w:bottom w:val="single" w:sz="4" w:space="0" w:color="000000"/>
              <w:right w:val="single" w:sz="4" w:space="0" w:color="000000"/>
            </w:tcBorders>
            <w:shd w:val="clear" w:color="auto" w:fill="auto"/>
            <w:noWrap/>
            <w:vAlign w:val="bottom"/>
            <w:hideMark/>
          </w:tcPr>
          <w:p w14:paraId="264630D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3,7</w:t>
            </w:r>
          </w:p>
        </w:tc>
        <w:tc>
          <w:tcPr>
            <w:tcW w:w="1135" w:type="dxa"/>
            <w:tcBorders>
              <w:top w:val="nil"/>
              <w:left w:val="nil"/>
              <w:bottom w:val="single" w:sz="4" w:space="0" w:color="000000"/>
              <w:right w:val="single" w:sz="4" w:space="0" w:color="000000"/>
            </w:tcBorders>
            <w:shd w:val="clear" w:color="auto" w:fill="auto"/>
            <w:noWrap/>
            <w:vAlign w:val="bottom"/>
            <w:hideMark/>
          </w:tcPr>
          <w:p w14:paraId="6DCB9B8A"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42,69</w:t>
            </w:r>
          </w:p>
        </w:tc>
      </w:tr>
      <w:tr w:rsidR="00D22200" w:rsidRPr="00D22200" w14:paraId="4FCBB7FA"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1D1A502B"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Germany</w:t>
            </w:r>
          </w:p>
        </w:tc>
        <w:tc>
          <w:tcPr>
            <w:tcW w:w="640" w:type="dxa"/>
            <w:tcBorders>
              <w:top w:val="nil"/>
              <w:left w:val="nil"/>
              <w:bottom w:val="single" w:sz="4" w:space="0" w:color="000000"/>
              <w:right w:val="single" w:sz="4" w:space="0" w:color="000000"/>
            </w:tcBorders>
            <w:shd w:val="clear" w:color="auto" w:fill="auto"/>
            <w:noWrap/>
            <w:vAlign w:val="bottom"/>
            <w:hideMark/>
          </w:tcPr>
          <w:p w14:paraId="158255B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2,5</w:t>
            </w:r>
          </w:p>
        </w:tc>
        <w:tc>
          <w:tcPr>
            <w:tcW w:w="640" w:type="dxa"/>
            <w:tcBorders>
              <w:top w:val="nil"/>
              <w:left w:val="nil"/>
              <w:bottom w:val="single" w:sz="4" w:space="0" w:color="000000"/>
              <w:right w:val="single" w:sz="4" w:space="0" w:color="000000"/>
            </w:tcBorders>
            <w:shd w:val="clear" w:color="auto" w:fill="auto"/>
            <w:noWrap/>
            <w:vAlign w:val="bottom"/>
            <w:hideMark/>
          </w:tcPr>
          <w:p w14:paraId="441E397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3,3</w:t>
            </w:r>
          </w:p>
        </w:tc>
        <w:tc>
          <w:tcPr>
            <w:tcW w:w="640" w:type="dxa"/>
            <w:tcBorders>
              <w:top w:val="nil"/>
              <w:left w:val="nil"/>
              <w:bottom w:val="single" w:sz="4" w:space="0" w:color="000000"/>
              <w:right w:val="single" w:sz="4" w:space="0" w:color="000000"/>
            </w:tcBorders>
            <w:shd w:val="clear" w:color="auto" w:fill="auto"/>
            <w:noWrap/>
            <w:vAlign w:val="bottom"/>
            <w:hideMark/>
          </w:tcPr>
          <w:p w14:paraId="5690A0F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700" w:type="dxa"/>
            <w:tcBorders>
              <w:top w:val="nil"/>
              <w:left w:val="nil"/>
              <w:bottom w:val="single" w:sz="4" w:space="0" w:color="000000"/>
              <w:right w:val="single" w:sz="4" w:space="0" w:color="000000"/>
            </w:tcBorders>
            <w:shd w:val="clear" w:color="auto" w:fill="auto"/>
            <w:noWrap/>
            <w:vAlign w:val="bottom"/>
            <w:hideMark/>
          </w:tcPr>
          <w:p w14:paraId="057B154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w:t>
            </w:r>
          </w:p>
        </w:tc>
        <w:tc>
          <w:tcPr>
            <w:tcW w:w="700" w:type="dxa"/>
            <w:tcBorders>
              <w:top w:val="nil"/>
              <w:left w:val="nil"/>
              <w:bottom w:val="single" w:sz="4" w:space="0" w:color="000000"/>
              <w:right w:val="single" w:sz="4" w:space="0" w:color="000000"/>
            </w:tcBorders>
            <w:shd w:val="clear" w:color="auto" w:fill="auto"/>
            <w:noWrap/>
            <w:vAlign w:val="bottom"/>
            <w:hideMark/>
          </w:tcPr>
          <w:p w14:paraId="5DECAC9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660" w:type="dxa"/>
            <w:tcBorders>
              <w:top w:val="nil"/>
              <w:left w:val="nil"/>
              <w:bottom w:val="single" w:sz="4" w:space="0" w:color="000000"/>
              <w:right w:val="single" w:sz="4" w:space="0" w:color="000000"/>
            </w:tcBorders>
            <w:shd w:val="clear" w:color="auto" w:fill="auto"/>
            <w:noWrap/>
            <w:vAlign w:val="bottom"/>
            <w:hideMark/>
          </w:tcPr>
          <w:p w14:paraId="5BA7297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w:t>
            </w:r>
          </w:p>
        </w:tc>
        <w:tc>
          <w:tcPr>
            <w:tcW w:w="620" w:type="dxa"/>
            <w:tcBorders>
              <w:top w:val="nil"/>
              <w:left w:val="nil"/>
              <w:bottom w:val="single" w:sz="4" w:space="0" w:color="000000"/>
              <w:right w:val="single" w:sz="4" w:space="0" w:color="000000"/>
            </w:tcBorders>
            <w:shd w:val="clear" w:color="auto" w:fill="auto"/>
            <w:noWrap/>
            <w:vAlign w:val="bottom"/>
            <w:hideMark/>
          </w:tcPr>
          <w:p w14:paraId="36EE0AE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0,8</w:t>
            </w:r>
          </w:p>
        </w:tc>
        <w:tc>
          <w:tcPr>
            <w:tcW w:w="660" w:type="dxa"/>
            <w:tcBorders>
              <w:top w:val="nil"/>
              <w:left w:val="nil"/>
              <w:bottom w:val="single" w:sz="4" w:space="0" w:color="000000"/>
              <w:right w:val="single" w:sz="4" w:space="0" w:color="000000"/>
            </w:tcBorders>
            <w:shd w:val="clear" w:color="auto" w:fill="auto"/>
            <w:noWrap/>
            <w:vAlign w:val="bottom"/>
            <w:hideMark/>
          </w:tcPr>
          <w:p w14:paraId="6524150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1,6</w:t>
            </w:r>
          </w:p>
        </w:tc>
        <w:tc>
          <w:tcPr>
            <w:tcW w:w="680" w:type="dxa"/>
            <w:tcBorders>
              <w:top w:val="nil"/>
              <w:left w:val="nil"/>
              <w:bottom w:val="single" w:sz="4" w:space="0" w:color="000000"/>
              <w:right w:val="single" w:sz="4" w:space="0" w:color="000000"/>
            </w:tcBorders>
            <w:shd w:val="clear" w:color="auto" w:fill="auto"/>
            <w:noWrap/>
            <w:vAlign w:val="bottom"/>
            <w:hideMark/>
          </w:tcPr>
          <w:p w14:paraId="3446BB3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1,2</w:t>
            </w:r>
          </w:p>
        </w:tc>
        <w:tc>
          <w:tcPr>
            <w:tcW w:w="680" w:type="dxa"/>
            <w:tcBorders>
              <w:top w:val="nil"/>
              <w:left w:val="nil"/>
              <w:bottom w:val="single" w:sz="4" w:space="0" w:color="000000"/>
              <w:right w:val="single" w:sz="4" w:space="0" w:color="000000"/>
            </w:tcBorders>
            <w:shd w:val="clear" w:color="auto" w:fill="auto"/>
            <w:noWrap/>
            <w:vAlign w:val="bottom"/>
            <w:hideMark/>
          </w:tcPr>
          <w:p w14:paraId="18888CB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2,5</w:t>
            </w:r>
          </w:p>
        </w:tc>
        <w:tc>
          <w:tcPr>
            <w:tcW w:w="1135" w:type="dxa"/>
            <w:tcBorders>
              <w:top w:val="nil"/>
              <w:left w:val="nil"/>
              <w:bottom w:val="single" w:sz="4" w:space="0" w:color="000000"/>
              <w:right w:val="single" w:sz="4" w:space="0" w:color="000000"/>
            </w:tcBorders>
            <w:shd w:val="clear" w:color="auto" w:fill="auto"/>
            <w:noWrap/>
            <w:vAlign w:val="bottom"/>
            <w:hideMark/>
          </w:tcPr>
          <w:p w14:paraId="498A0AC3"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22,71</w:t>
            </w:r>
          </w:p>
        </w:tc>
      </w:tr>
      <w:tr w:rsidR="00D22200" w:rsidRPr="00D22200" w14:paraId="07C60F9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555DC331"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Estonia</w:t>
            </w:r>
          </w:p>
        </w:tc>
        <w:tc>
          <w:tcPr>
            <w:tcW w:w="640" w:type="dxa"/>
            <w:tcBorders>
              <w:top w:val="nil"/>
              <w:left w:val="nil"/>
              <w:bottom w:val="single" w:sz="4" w:space="0" w:color="000000"/>
              <w:right w:val="single" w:sz="4" w:space="0" w:color="000000"/>
            </w:tcBorders>
            <w:shd w:val="clear" w:color="auto" w:fill="auto"/>
            <w:noWrap/>
            <w:vAlign w:val="bottom"/>
            <w:hideMark/>
          </w:tcPr>
          <w:p w14:paraId="091612A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8,3</w:t>
            </w:r>
          </w:p>
        </w:tc>
        <w:tc>
          <w:tcPr>
            <w:tcW w:w="640" w:type="dxa"/>
            <w:tcBorders>
              <w:top w:val="nil"/>
              <w:left w:val="nil"/>
              <w:bottom w:val="single" w:sz="4" w:space="0" w:color="000000"/>
              <w:right w:val="single" w:sz="4" w:space="0" w:color="000000"/>
            </w:tcBorders>
            <w:shd w:val="clear" w:color="auto" w:fill="auto"/>
            <w:noWrap/>
            <w:vAlign w:val="bottom"/>
            <w:hideMark/>
          </w:tcPr>
          <w:p w14:paraId="2ED77BE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9,7</w:t>
            </w:r>
          </w:p>
        </w:tc>
        <w:tc>
          <w:tcPr>
            <w:tcW w:w="640" w:type="dxa"/>
            <w:tcBorders>
              <w:top w:val="nil"/>
              <w:left w:val="nil"/>
              <w:bottom w:val="single" w:sz="4" w:space="0" w:color="000000"/>
              <w:right w:val="single" w:sz="4" w:space="0" w:color="000000"/>
            </w:tcBorders>
            <w:shd w:val="clear" w:color="auto" w:fill="auto"/>
            <w:noWrap/>
            <w:vAlign w:val="bottom"/>
            <w:hideMark/>
          </w:tcPr>
          <w:p w14:paraId="1BB9D6F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13,3</w:t>
            </w:r>
          </w:p>
        </w:tc>
        <w:tc>
          <w:tcPr>
            <w:tcW w:w="700" w:type="dxa"/>
            <w:tcBorders>
              <w:top w:val="nil"/>
              <w:left w:val="nil"/>
              <w:bottom w:val="single" w:sz="4" w:space="0" w:color="000000"/>
              <w:right w:val="single" w:sz="4" w:space="0" w:color="000000"/>
            </w:tcBorders>
            <w:shd w:val="clear" w:color="auto" w:fill="auto"/>
            <w:noWrap/>
            <w:vAlign w:val="bottom"/>
            <w:hideMark/>
          </w:tcPr>
          <w:p w14:paraId="437981F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12,7</w:t>
            </w:r>
          </w:p>
        </w:tc>
        <w:tc>
          <w:tcPr>
            <w:tcW w:w="700" w:type="dxa"/>
            <w:tcBorders>
              <w:top w:val="nil"/>
              <w:left w:val="nil"/>
              <w:bottom w:val="single" w:sz="4" w:space="0" w:color="000000"/>
              <w:right w:val="single" w:sz="4" w:space="0" w:color="000000"/>
            </w:tcBorders>
            <w:shd w:val="clear" w:color="auto" w:fill="auto"/>
            <w:noWrap/>
            <w:vAlign w:val="bottom"/>
            <w:hideMark/>
          </w:tcPr>
          <w:p w14:paraId="277C140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9,4</w:t>
            </w:r>
          </w:p>
        </w:tc>
        <w:tc>
          <w:tcPr>
            <w:tcW w:w="660" w:type="dxa"/>
            <w:tcBorders>
              <w:top w:val="nil"/>
              <w:left w:val="nil"/>
              <w:bottom w:val="single" w:sz="4" w:space="0" w:color="000000"/>
              <w:right w:val="single" w:sz="4" w:space="0" w:color="000000"/>
            </w:tcBorders>
            <w:shd w:val="clear" w:color="auto" w:fill="auto"/>
            <w:noWrap/>
            <w:vAlign w:val="bottom"/>
            <w:hideMark/>
          </w:tcPr>
          <w:p w14:paraId="5E196A4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6,3</w:t>
            </w:r>
          </w:p>
        </w:tc>
        <w:tc>
          <w:tcPr>
            <w:tcW w:w="620" w:type="dxa"/>
            <w:tcBorders>
              <w:top w:val="nil"/>
              <w:left w:val="nil"/>
              <w:bottom w:val="single" w:sz="4" w:space="0" w:color="000000"/>
              <w:right w:val="single" w:sz="4" w:space="0" w:color="000000"/>
            </w:tcBorders>
            <w:shd w:val="clear" w:color="auto" w:fill="auto"/>
            <w:noWrap/>
            <w:vAlign w:val="bottom"/>
            <w:hideMark/>
          </w:tcPr>
          <w:p w14:paraId="100FB4F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10,6</w:t>
            </w:r>
          </w:p>
        </w:tc>
        <w:tc>
          <w:tcPr>
            <w:tcW w:w="660" w:type="dxa"/>
            <w:tcBorders>
              <w:top w:val="nil"/>
              <w:left w:val="nil"/>
              <w:bottom w:val="single" w:sz="4" w:space="0" w:color="000000"/>
              <w:right w:val="single" w:sz="4" w:space="0" w:color="000000"/>
            </w:tcBorders>
            <w:shd w:val="clear" w:color="auto" w:fill="auto"/>
            <w:noWrap/>
            <w:vAlign w:val="bottom"/>
            <w:hideMark/>
          </w:tcPr>
          <w:p w14:paraId="459E028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16,8</w:t>
            </w:r>
          </w:p>
        </w:tc>
        <w:tc>
          <w:tcPr>
            <w:tcW w:w="680" w:type="dxa"/>
            <w:tcBorders>
              <w:top w:val="nil"/>
              <w:left w:val="nil"/>
              <w:bottom w:val="single" w:sz="4" w:space="0" w:color="000000"/>
              <w:right w:val="single" w:sz="4" w:space="0" w:color="000000"/>
            </w:tcBorders>
            <w:shd w:val="clear" w:color="auto" w:fill="auto"/>
            <w:noWrap/>
            <w:vAlign w:val="bottom"/>
            <w:hideMark/>
          </w:tcPr>
          <w:p w14:paraId="59D4DC7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20,2</w:t>
            </w:r>
          </w:p>
        </w:tc>
        <w:tc>
          <w:tcPr>
            <w:tcW w:w="680" w:type="dxa"/>
            <w:tcBorders>
              <w:top w:val="nil"/>
              <w:left w:val="nil"/>
              <w:bottom w:val="single" w:sz="4" w:space="0" w:color="000000"/>
              <w:right w:val="single" w:sz="4" w:space="0" w:color="000000"/>
            </w:tcBorders>
            <w:shd w:val="clear" w:color="auto" w:fill="auto"/>
            <w:noWrap/>
            <w:vAlign w:val="bottom"/>
            <w:hideMark/>
          </w:tcPr>
          <w:p w14:paraId="561AF47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13,8</w:t>
            </w:r>
          </w:p>
        </w:tc>
        <w:tc>
          <w:tcPr>
            <w:tcW w:w="1135" w:type="dxa"/>
            <w:tcBorders>
              <w:top w:val="nil"/>
              <w:left w:val="nil"/>
              <w:bottom w:val="single" w:sz="4" w:space="0" w:color="000000"/>
              <w:right w:val="single" w:sz="4" w:space="0" w:color="000000"/>
            </w:tcBorders>
            <w:shd w:val="clear" w:color="auto" w:fill="auto"/>
            <w:noWrap/>
            <w:vAlign w:val="bottom"/>
            <w:hideMark/>
          </w:tcPr>
          <w:p w14:paraId="632118EC"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211,73</w:t>
            </w:r>
          </w:p>
        </w:tc>
      </w:tr>
      <w:tr w:rsidR="00D22200" w:rsidRPr="00D22200" w14:paraId="69666899"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545014DA"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Ireland</w:t>
            </w:r>
          </w:p>
        </w:tc>
        <w:tc>
          <w:tcPr>
            <w:tcW w:w="640" w:type="dxa"/>
            <w:tcBorders>
              <w:top w:val="nil"/>
              <w:left w:val="nil"/>
              <w:bottom w:val="single" w:sz="4" w:space="0" w:color="000000"/>
              <w:right w:val="single" w:sz="4" w:space="0" w:color="000000"/>
            </w:tcBorders>
            <w:shd w:val="clear" w:color="auto" w:fill="auto"/>
            <w:noWrap/>
            <w:vAlign w:val="bottom"/>
            <w:hideMark/>
          </w:tcPr>
          <w:p w14:paraId="1F3CCD9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5,3</w:t>
            </w:r>
          </w:p>
        </w:tc>
        <w:tc>
          <w:tcPr>
            <w:tcW w:w="640" w:type="dxa"/>
            <w:tcBorders>
              <w:top w:val="nil"/>
              <w:left w:val="nil"/>
              <w:bottom w:val="single" w:sz="4" w:space="0" w:color="000000"/>
              <w:right w:val="single" w:sz="4" w:space="0" w:color="000000"/>
            </w:tcBorders>
            <w:shd w:val="clear" w:color="auto" w:fill="auto"/>
            <w:noWrap/>
            <w:vAlign w:val="bottom"/>
            <w:hideMark/>
          </w:tcPr>
          <w:p w14:paraId="7AA8880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7,8</w:t>
            </w:r>
          </w:p>
        </w:tc>
        <w:tc>
          <w:tcPr>
            <w:tcW w:w="640" w:type="dxa"/>
            <w:tcBorders>
              <w:top w:val="nil"/>
              <w:left w:val="nil"/>
              <w:bottom w:val="single" w:sz="4" w:space="0" w:color="000000"/>
              <w:right w:val="single" w:sz="4" w:space="0" w:color="000000"/>
            </w:tcBorders>
            <w:shd w:val="clear" w:color="auto" w:fill="auto"/>
            <w:noWrap/>
            <w:vAlign w:val="bottom"/>
            <w:hideMark/>
          </w:tcPr>
          <w:p w14:paraId="2E78454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8,5</w:t>
            </w:r>
          </w:p>
        </w:tc>
        <w:tc>
          <w:tcPr>
            <w:tcW w:w="700" w:type="dxa"/>
            <w:tcBorders>
              <w:top w:val="nil"/>
              <w:left w:val="nil"/>
              <w:bottom w:val="single" w:sz="4" w:space="0" w:color="000000"/>
              <w:right w:val="single" w:sz="4" w:space="0" w:color="000000"/>
            </w:tcBorders>
            <w:shd w:val="clear" w:color="auto" w:fill="auto"/>
            <w:noWrap/>
            <w:vAlign w:val="bottom"/>
            <w:hideMark/>
          </w:tcPr>
          <w:p w14:paraId="57064D4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4,0</w:t>
            </w:r>
          </w:p>
        </w:tc>
        <w:tc>
          <w:tcPr>
            <w:tcW w:w="700" w:type="dxa"/>
            <w:tcBorders>
              <w:top w:val="nil"/>
              <w:left w:val="nil"/>
              <w:bottom w:val="single" w:sz="4" w:space="0" w:color="000000"/>
              <w:right w:val="single" w:sz="4" w:space="0" w:color="000000"/>
            </w:tcBorders>
            <w:shd w:val="clear" w:color="auto" w:fill="auto"/>
            <w:noWrap/>
            <w:vAlign w:val="bottom"/>
            <w:hideMark/>
          </w:tcPr>
          <w:p w14:paraId="27D01F4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5,5</w:t>
            </w:r>
          </w:p>
        </w:tc>
        <w:tc>
          <w:tcPr>
            <w:tcW w:w="660" w:type="dxa"/>
            <w:tcBorders>
              <w:top w:val="nil"/>
              <w:left w:val="nil"/>
              <w:bottom w:val="single" w:sz="4" w:space="0" w:color="000000"/>
              <w:right w:val="single" w:sz="4" w:space="0" w:color="000000"/>
            </w:tcBorders>
            <w:shd w:val="clear" w:color="auto" w:fill="auto"/>
            <w:noWrap/>
            <w:vAlign w:val="bottom"/>
            <w:hideMark/>
          </w:tcPr>
          <w:p w14:paraId="764D736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5,0</w:t>
            </w:r>
          </w:p>
        </w:tc>
        <w:tc>
          <w:tcPr>
            <w:tcW w:w="620" w:type="dxa"/>
            <w:tcBorders>
              <w:top w:val="nil"/>
              <w:left w:val="nil"/>
              <w:bottom w:val="single" w:sz="4" w:space="0" w:color="000000"/>
              <w:right w:val="single" w:sz="4" w:space="0" w:color="000000"/>
            </w:tcBorders>
            <w:shd w:val="clear" w:color="auto" w:fill="auto"/>
            <w:noWrap/>
            <w:vAlign w:val="bottom"/>
            <w:hideMark/>
          </w:tcPr>
          <w:p w14:paraId="145163F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4,4</w:t>
            </w:r>
          </w:p>
        </w:tc>
        <w:tc>
          <w:tcPr>
            <w:tcW w:w="660" w:type="dxa"/>
            <w:tcBorders>
              <w:top w:val="nil"/>
              <w:left w:val="nil"/>
              <w:bottom w:val="single" w:sz="4" w:space="0" w:color="000000"/>
              <w:right w:val="single" w:sz="4" w:space="0" w:color="000000"/>
            </w:tcBorders>
            <w:shd w:val="clear" w:color="auto" w:fill="auto"/>
            <w:noWrap/>
            <w:vAlign w:val="bottom"/>
            <w:hideMark/>
          </w:tcPr>
          <w:p w14:paraId="1174553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4,4</w:t>
            </w:r>
          </w:p>
        </w:tc>
        <w:tc>
          <w:tcPr>
            <w:tcW w:w="680" w:type="dxa"/>
            <w:tcBorders>
              <w:top w:val="nil"/>
              <w:left w:val="nil"/>
              <w:bottom w:val="single" w:sz="4" w:space="0" w:color="000000"/>
              <w:right w:val="single" w:sz="4" w:space="0" w:color="000000"/>
            </w:tcBorders>
            <w:shd w:val="clear" w:color="auto" w:fill="auto"/>
            <w:noWrap/>
            <w:vAlign w:val="bottom"/>
            <w:hideMark/>
          </w:tcPr>
          <w:p w14:paraId="36F5129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5,1</w:t>
            </w:r>
          </w:p>
        </w:tc>
        <w:tc>
          <w:tcPr>
            <w:tcW w:w="680" w:type="dxa"/>
            <w:tcBorders>
              <w:top w:val="nil"/>
              <w:left w:val="nil"/>
              <w:bottom w:val="single" w:sz="4" w:space="0" w:color="000000"/>
              <w:right w:val="single" w:sz="4" w:space="0" w:color="000000"/>
            </w:tcBorders>
            <w:shd w:val="clear" w:color="auto" w:fill="auto"/>
            <w:noWrap/>
            <w:vAlign w:val="bottom"/>
            <w:hideMark/>
          </w:tcPr>
          <w:p w14:paraId="72D60F6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3,0</w:t>
            </w:r>
          </w:p>
        </w:tc>
        <w:tc>
          <w:tcPr>
            <w:tcW w:w="1135" w:type="dxa"/>
            <w:tcBorders>
              <w:top w:val="nil"/>
              <w:left w:val="nil"/>
              <w:bottom w:val="single" w:sz="4" w:space="0" w:color="000000"/>
              <w:right w:val="single" w:sz="4" w:space="0" w:color="000000"/>
            </w:tcBorders>
            <w:shd w:val="clear" w:color="auto" w:fill="auto"/>
            <w:noWrap/>
            <w:vAlign w:val="bottom"/>
            <w:hideMark/>
          </w:tcPr>
          <w:p w14:paraId="1918D9C0"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67,41</w:t>
            </w:r>
          </w:p>
        </w:tc>
      </w:tr>
      <w:tr w:rsidR="00D22200" w:rsidRPr="00D22200" w14:paraId="463305B3"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18C7AB39"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Greece</w:t>
            </w:r>
          </w:p>
        </w:tc>
        <w:tc>
          <w:tcPr>
            <w:tcW w:w="640" w:type="dxa"/>
            <w:tcBorders>
              <w:top w:val="nil"/>
              <w:left w:val="nil"/>
              <w:bottom w:val="single" w:sz="4" w:space="0" w:color="000000"/>
              <w:right w:val="single" w:sz="4" w:space="0" w:color="000000"/>
            </w:tcBorders>
            <w:shd w:val="clear" w:color="auto" w:fill="auto"/>
            <w:noWrap/>
            <w:vAlign w:val="bottom"/>
            <w:hideMark/>
          </w:tcPr>
          <w:p w14:paraId="3F0063E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5,6</w:t>
            </w:r>
          </w:p>
        </w:tc>
        <w:tc>
          <w:tcPr>
            <w:tcW w:w="640" w:type="dxa"/>
            <w:tcBorders>
              <w:top w:val="nil"/>
              <w:left w:val="nil"/>
              <w:bottom w:val="single" w:sz="4" w:space="0" w:color="000000"/>
              <w:right w:val="single" w:sz="4" w:space="0" w:color="000000"/>
            </w:tcBorders>
            <w:shd w:val="clear" w:color="auto" w:fill="auto"/>
            <w:noWrap/>
            <w:vAlign w:val="bottom"/>
            <w:hideMark/>
          </w:tcPr>
          <w:p w14:paraId="0D065A1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5,4</w:t>
            </w:r>
          </w:p>
        </w:tc>
        <w:tc>
          <w:tcPr>
            <w:tcW w:w="640" w:type="dxa"/>
            <w:tcBorders>
              <w:top w:val="nil"/>
              <w:left w:val="nil"/>
              <w:bottom w:val="single" w:sz="4" w:space="0" w:color="000000"/>
              <w:right w:val="single" w:sz="4" w:space="0" w:color="000000"/>
            </w:tcBorders>
            <w:shd w:val="clear" w:color="auto" w:fill="auto"/>
            <w:noWrap/>
            <w:vAlign w:val="bottom"/>
            <w:hideMark/>
          </w:tcPr>
          <w:p w14:paraId="47BBA3F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6,0</w:t>
            </w:r>
          </w:p>
        </w:tc>
        <w:tc>
          <w:tcPr>
            <w:tcW w:w="700" w:type="dxa"/>
            <w:tcBorders>
              <w:top w:val="nil"/>
              <w:left w:val="nil"/>
              <w:bottom w:val="single" w:sz="4" w:space="0" w:color="000000"/>
              <w:right w:val="single" w:sz="4" w:space="0" w:color="000000"/>
            </w:tcBorders>
            <w:shd w:val="clear" w:color="auto" w:fill="auto"/>
            <w:noWrap/>
            <w:vAlign w:val="bottom"/>
            <w:hideMark/>
          </w:tcPr>
          <w:p w14:paraId="048CF7C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7,1</w:t>
            </w:r>
          </w:p>
        </w:tc>
        <w:tc>
          <w:tcPr>
            <w:tcW w:w="700" w:type="dxa"/>
            <w:tcBorders>
              <w:top w:val="nil"/>
              <w:left w:val="nil"/>
              <w:bottom w:val="single" w:sz="4" w:space="0" w:color="000000"/>
              <w:right w:val="single" w:sz="4" w:space="0" w:color="000000"/>
            </w:tcBorders>
            <w:shd w:val="clear" w:color="auto" w:fill="auto"/>
            <w:noWrap/>
            <w:vAlign w:val="bottom"/>
            <w:hideMark/>
          </w:tcPr>
          <w:p w14:paraId="2F0A024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2,7</w:t>
            </w:r>
          </w:p>
        </w:tc>
        <w:tc>
          <w:tcPr>
            <w:tcW w:w="660" w:type="dxa"/>
            <w:tcBorders>
              <w:top w:val="nil"/>
              <w:left w:val="nil"/>
              <w:bottom w:val="single" w:sz="4" w:space="0" w:color="000000"/>
              <w:right w:val="single" w:sz="4" w:space="0" w:color="000000"/>
            </w:tcBorders>
            <w:shd w:val="clear" w:color="auto" w:fill="auto"/>
            <w:noWrap/>
            <w:vAlign w:val="bottom"/>
            <w:hideMark/>
          </w:tcPr>
          <w:p w14:paraId="2E06431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8,9</w:t>
            </w:r>
          </w:p>
        </w:tc>
        <w:tc>
          <w:tcPr>
            <w:tcW w:w="620" w:type="dxa"/>
            <w:tcBorders>
              <w:top w:val="nil"/>
              <w:left w:val="nil"/>
              <w:bottom w:val="single" w:sz="4" w:space="0" w:color="000000"/>
              <w:right w:val="single" w:sz="4" w:space="0" w:color="000000"/>
            </w:tcBorders>
            <w:shd w:val="clear" w:color="auto" w:fill="auto"/>
            <w:noWrap/>
            <w:vAlign w:val="bottom"/>
            <w:hideMark/>
          </w:tcPr>
          <w:p w14:paraId="4148DFB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0,5</w:t>
            </w:r>
          </w:p>
        </w:tc>
        <w:tc>
          <w:tcPr>
            <w:tcW w:w="660" w:type="dxa"/>
            <w:tcBorders>
              <w:top w:val="nil"/>
              <w:left w:val="nil"/>
              <w:bottom w:val="single" w:sz="4" w:space="0" w:color="000000"/>
              <w:right w:val="single" w:sz="4" w:space="0" w:color="000000"/>
            </w:tcBorders>
            <w:shd w:val="clear" w:color="auto" w:fill="auto"/>
            <w:noWrap/>
            <w:vAlign w:val="bottom"/>
            <w:hideMark/>
          </w:tcPr>
          <w:p w14:paraId="23BC1E5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7,8</w:t>
            </w:r>
          </w:p>
        </w:tc>
        <w:tc>
          <w:tcPr>
            <w:tcW w:w="680" w:type="dxa"/>
            <w:tcBorders>
              <w:top w:val="nil"/>
              <w:left w:val="nil"/>
              <w:bottom w:val="single" w:sz="4" w:space="0" w:color="000000"/>
              <w:right w:val="single" w:sz="4" w:space="0" w:color="000000"/>
            </w:tcBorders>
            <w:shd w:val="clear" w:color="auto" w:fill="auto"/>
            <w:noWrap/>
            <w:vAlign w:val="bottom"/>
            <w:hideMark/>
          </w:tcPr>
          <w:p w14:paraId="02E4D0C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3,6</w:t>
            </w:r>
          </w:p>
        </w:tc>
        <w:tc>
          <w:tcPr>
            <w:tcW w:w="680" w:type="dxa"/>
            <w:tcBorders>
              <w:top w:val="nil"/>
              <w:left w:val="nil"/>
              <w:bottom w:val="single" w:sz="4" w:space="0" w:color="000000"/>
              <w:right w:val="single" w:sz="4" w:space="0" w:color="000000"/>
            </w:tcBorders>
            <w:shd w:val="clear" w:color="auto" w:fill="auto"/>
            <w:noWrap/>
            <w:vAlign w:val="bottom"/>
            <w:hideMark/>
          </w:tcPr>
          <w:p w14:paraId="1F2A9F6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13,6</w:t>
            </w:r>
          </w:p>
        </w:tc>
        <w:tc>
          <w:tcPr>
            <w:tcW w:w="1135" w:type="dxa"/>
            <w:tcBorders>
              <w:top w:val="nil"/>
              <w:left w:val="nil"/>
              <w:bottom w:val="single" w:sz="4" w:space="0" w:color="000000"/>
              <w:right w:val="single" w:sz="4" w:space="0" w:color="000000"/>
            </w:tcBorders>
            <w:shd w:val="clear" w:color="auto" w:fill="auto"/>
            <w:noWrap/>
            <w:vAlign w:val="bottom"/>
            <w:hideMark/>
          </w:tcPr>
          <w:p w14:paraId="41326AAB"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80,19</w:t>
            </w:r>
          </w:p>
        </w:tc>
      </w:tr>
      <w:tr w:rsidR="00D22200" w:rsidRPr="00D22200" w14:paraId="2216272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2E6E8D3A"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Spain</w:t>
            </w:r>
          </w:p>
        </w:tc>
        <w:tc>
          <w:tcPr>
            <w:tcW w:w="640" w:type="dxa"/>
            <w:tcBorders>
              <w:top w:val="nil"/>
              <w:left w:val="nil"/>
              <w:bottom w:val="single" w:sz="4" w:space="0" w:color="000000"/>
              <w:right w:val="single" w:sz="4" w:space="0" w:color="000000"/>
            </w:tcBorders>
            <w:shd w:val="clear" w:color="auto" w:fill="auto"/>
            <w:noWrap/>
            <w:vAlign w:val="bottom"/>
            <w:hideMark/>
          </w:tcPr>
          <w:p w14:paraId="622CC4C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40" w:type="dxa"/>
            <w:tcBorders>
              <w:top w:val="nil"/>
              <w:left w:val="nil"/>
              <w:bottom w:val="single" w:sz="4" w:space="0" w:color="000000"/>
              <w:right w:val="single" w:sz="4" w:space="0" w:color="000000"/>
            </w:tcBorders>
            <w:shd w:val="clear" w:color="auto" w:fill="auto"/>
            <w:noWrap/>
            <w:vAlign w:val="bottom"/>
            <w:hideMark/>
          </w:tcPr>
          <w:p w14:paraId="6A8711C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4,7</w:t>
            </w:r>
          </w:p>
        </w:tc>
        <w:tc>
          <w:tcPr>
            <w:tcW w:w="640" w:type="dxa"/>
            <w:tcBorders>
              <w:top w:val="nil"/>
              <w:left w:val="nil"/>
              <w:bottom w:val="single" w:sz="4" w:space="0" w:color="000000"/>
              <w:right w:val="single" w:sz="4" w:space="0" w:color="000000"/>
            </w:tcBorders>
            <w:shd w:val="clear" w:color="auto" w:fill="auto"/>
            <w:noWrap/>
            <w:vAlign w:val="bottom"/>
            <w:hideMark/>
          </w:tcPr>
          <w:p w14:paraId="5AC15A8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5,6</w:t>
            </w:r>
          </w:p>
        </w:tc>
        <w:tc>
          <w:tcPr>
            <w:tcW w:w="700" w:type="dxa"/>
            <w:tcBorders>
              <w:top w:val="nil"/>
              <w:left w:val="nil"/>
              <w:bottom w:val="single" w:sz="4" w:space="0" w:color="000000"/>
              <w:right w:val="single" w:sz="4" w:space="0" w:color="000000"/>
            </w:tcBorders>
            <w:shd w:val="clear" w:color="auto" w:fill="auto"/>
            <w:noWrap/>
            <w:vAlign w:val="bottom"/>
            <w:hideMark/>
          </w:tcPr>
          <w:p w14:paraId="46B9D99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5,4</w:t>
            </w:r>
          </w:p>
        </w:tc>
        <w:tc>
          <w:tcPr>
            <w:tcW w:w="700" w:type="dxa"/>
            <w:tcBorders>
              <w:top w:val="nil"/>
              <w:left w:val="nil"/>
              <w:bottom w:val="single" w:sz="4" w:space="0" w:color="000000"/>
              <w:right w:val="single" w:sz="4" w:space="0" w:color="000000"/>
            </w:tcBorders>
            <w:shd w:val="clear" w:color="auto" w:fill="auto"/>
            <w:noWrap/>
            <w:vAlign w:val="bottom"/>
            <w:hideMark/>
          </w:tcPr>
          <w:p w14:paraId="62DD175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4,8</w:t>
            </w:r>
          </w:p>
        </w:tc>
        <w:tc>
          <w:tcPr>
            <w:tcW w:w="660" w:type="dxa"/>
            <w:tcBorders>
              <w:top w:val="nil"/>
              <w:left w:val="nil"/>
              <w:bottom w:val="single" w:sz="4" w:space="0" w:color="000000"/>
              <w:right w:val="single" w:sz="4" w:space="0" w:color="000000"/>
            </w:tcBorders>
            <w:shd w:val="clear" w:color="auto" w:fill="auto"/>
            <w:noWrap/>
            <w:vAlign w:val="bottom"/>
            <w:hideMark/>
          </w:tcPr>
          <w:p w14:paraId="56D5929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4,1</w:t>
            </w:r>
          </w:p>
        </w:tc>
        <w:tc>
          <w:tcPr>
            <w:tcW w:w="620" w:type="dxa"/>
            <w:tcBorders>
              <w:top w:val="nil"/>
              <w:left w:val="nil"/>
              <w:bottom w:val="single" w:sz="4" w:space="0" w:color="000000"/>
              <w:right w:val="single" w:sz="4" w:space="0" w:color="000000"/>
            </w:tcBorders>
            <w:shd w:val="clear" w:color="auto" w:fill="auto"/>
            <w:noWrap/>
            <w:vAlign w:val="bottom"/>
            <w:hideMark/>
          </w:tcPr>
          <w:p w14:paraId="5A657BD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3,7</w:t>
            </w:r>
          </w:p>
        </w:tc>
        <w:tc>
          <w:tcPr>
            <w:tcW w:w="660" w:type="dxa"/>
            <w:tcBorders>
              <w:top w:val="nil"/>
              <w:left w:val="nil"/>
              <w:bottom w:val="single" w:sz="4" w:space="0" w:color="000000"/>
              <w:right w:val="single" w:sz="4" w:space="0" w:color="000000"/>
            </w:tcBorders>
            <w:shd w:val="clear" w:color="auto" w:fill="auto"/>
            <w:noWrap/>
            <w:vAlign w:val="bottom"/>
            <w:hideMark/>
          </w:tcPr>
          <w:p w14:paraId="024D419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680" w:type="dxa"/>
            <w:tcBorders>
              <w:top w:val="nil"/>
              <w:left w:val="nil"/>
              <w:bottom w:val="single" w:sz="4" w:space="0" w:color="000000"/>
              <w:right w:val="single" w:sz="4" w:space="0" w:color="000000"/>
            </w:tcBorders>
            <w:shd w:val="clear" w:color="auto" w:fill="auto"/>
            <w:noWrap/>
            <w:vAlign w:val="bottom"/>
            <w:hideMark/>
          </w:tcPr>
          <w:p w14:paraId="68DA578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4,1</w:t>
            </w:r>
          </w:p>
        </w:tc>
        <w:tc>
          <w:tcPr>
            <w:tcW w:w="680" w:type="dxa"/>
            <w:tcBorders>
              <w:top w:val="nil"/>
              <w:left w:val="nil"/>
              <w:bottom w:val="single" w:sz="4" w:space="0" w:color="000000"/>
              <w:right w:val="single" w:sz="4" w:space="0" w:color="000000"/>
            </w:tcBorders>
            <w:shd w:val="clear" w:color="auto" w:fill="auto"/>
            <w:noWrap/>
            <w:vAlign w:val="bottom"/>
            <w:hideMark/>
          </w:tcPr>
          <w:p w14:paraId="1B5CEB2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5,0</w:t>
            </w:r>
          </w:p>
        </w:tc>
        <w:tc>
          <w:tcPr>
            <w:tcW w:w="1135" w:type="dxa"/>
            <w:tcBorders>
              <w:top w:val="nil"/>
              <w:left w:val="nil"/>
              <w:bottom w:val="single" w:sz="4" w:space="0" w:color="000000"/>
              <w:right w:val="single" w:sz="4" w:space="0" w:color="000000"/>
            </w:tcBorders>
            <w:shd w:val="clear" w:color="auto" w:fill="auto"/>
            <w:noWrap/>
            <w:vAlign w:val="bottom"/>
            <w:hideMark/>
          </w:tcPr>
          <w:p w14:paraId="56B6137B"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54,97</w:t>
            </w:r>
          </w:p>
        </w:tc>
      </w:tr>
      <w:tr w:rsidR="00D22200" w:rsidRPr="00D22200" w14:paraId="4ED6632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46E807D6"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France</w:t>
            </w:r>
          </w:p>
        </w:tc>
        <w:tc>
          <w:tcPr>
            <w:tcW w:w="640" w:type="dxa"/>
            <w:tcBorders>
              <w:top w:val="nil"/>
              <w:left w:val="nil"/>
              <w:bottom w:val="single" w:sz="4" w:space="0" w:color="000000"/>
              <w:right w:val="single" w:sz="4" w:space="0" w:color="000000"/>
            </w:tcBorders>
            <w:shd w:val="clear" w:color="auto" w:fill="auto"/>
            <w:noWrap/>
            <w:vAlign w:val="bottom"/>
            <w:hideMark/>
          </w:tcPr>
          <w:p w14:paraId="4E81775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2,4</w:t>
            </w:r>
          </w:p>
        </w:tc>
        <w:tc>
          <w:tcPr>
            <w:tcW w:w="640" w:type="dxa"/>
            <w:tcBorders>
              <w:top w:val="nil"/>
              <w:left w:val="nil"/>
              <w:bottom w:val="single" w:sz="4" w:space="0" w:color="000000"/>
              <w:right w:val="single" w:sz="4" w:space="0" w:color="000000"/>
            </w:tcBorders>
            <w:shd w:val="clear" w:color="auto" w:fill="auto"/>
            <w:noWrap/>
            <w:vAlign w:val="bottom"/>
            <w:hideMark/>
          </w:tcPr>
          <w:p w14:paraId="57CBC28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4,1</w:t>
            </w:r>
          </w:p>
        </w:tc>
        <w:tc>
          <w:tcPr>
            <w:tcW w:w="640" w:type="dxa"/>
            <w:tcBorders>
              <w:top w:val="nil"/>
              <w:left w:val="nil"/>
              <w:bottom w:val="single" w:sz="4" w:space="0" w:color="000000"/>
              <w:right w:val="single" w:sz="4" w:space="0" w:color="000000"/>
            </w:tcBorders>
            <w:shd w:val="clear" w:color="auto" w:fill="auto"/>
            <w:noWrap/>
            <w:vAlign w:val="bottom"/>
            <w:hideMark/>
          </w:tcPr>
          <w:p w14:paraId="3EF1CBC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3,7</w:t>
            </w:r>
          </w:p>
        </w:tc>
        <w:tc>
          <w:tcPr>
            <w:tcW w:w="700" w:type="dxa"/>
            <w:tcBorders>
              <w:top w:val="nil"/>
              <w:left w:val="nil"/>
              <w:bottom w:val="single" w:sz="4" w:space="0" w:color="000000"/>
              <w:right w:val="single" w:sz="4" w:space="0" w:color="000000"/>
            </w:tcBorders>
            <w:shd w:val="clear" w:color="auto" w:fill="auto"/>
            <w:noWrap/>
            <w:vAlign w:val="bottom"/>
            <w:hideMark/>
          </w:tcPr>
          <w:p w14:paraId="5D23168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3,6</w:t>
            </w:r>
          </w:p>
        </w:tc>
        <w:tc>
          <w:tcPr>
            <w:tcW w:w="700" w:type="dxa"/>
            <w:tcBorders>
              <w:top w:val="nil"/>
              <w:left w:val="nil"/>
              <w:bottom w:val="single" w:sz="4" w:space="0" w:color="000000"/>
              <w:right w:val="single" w:sz="4" w:space="0" w:color="000000"/>
            </w:tcBorders>
            <w:shd w:val="clear" w:color="auto" w:fill="auto"/>
            <w:noWrap/>
            <w:vAlign w:val="bottom"/>
            <w:hideMark/>
          </w:tcPr>
          <w:p w14:paraId="26247B0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660" w:type="dxa"/>
            <w:tcBorders>
              <w:top w:val="nil"/>
              <w:left w:val="nil"/>
              <w:bottom w:val="single" w:sz="4" w:space="0" w:color="000000"/>
              <w:right w:val="single" w:sz="4" w:space="0" w:color="000000"/>
            </w:tcBorders>
            <w:shd w:val="clear" w:color="auto" w:fill="auto"/>
            <w:noWrap/>
            <w:vAlign w:val="bottom"/>
            <w:hideMark/>
          </w:tcPr>
          <w:p w14:paraId="6090C60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3,6</w:t>
            </w:r>
          </w:p>
        </w:tc>
        <w:tc>
          <w:tcPr>
            <w:tcW w:w="620" w:type="dxa"/>
            <w:tcBorders>
              <w:top w:val="nil"/>
              <w:left w:val="nil"/>
              <w:bottom w:val="single" w:sz="4" w:space="0" w:color="000000"/>
              <w:right w:val="single" w:sz="4" w:space="0" w:color="000000"/>
            </w:tcBorders>
            <w:shd w:val="clear" w:color="auto" w:fill="auto"/>
            <w:noWrap/>
            <w:vAlign w:val="bottom"/>
            <w:hideMark/>
          </w:tcPr>
          <w:p w14:paraId="2D092E5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660" w:type="dxa"/>
            <w:tcBorders>
              <w:top w:val="nil"/>
              <w:left w:val="nil"/>
              <w:bottom w:val="single" w:sz="4" w:space="0" w:color="000000"/>
              <w:right w:val="single" w:sz="4" w:space="0" w:color="000000"/>
            </w:tcBorders>
            <w:shd w:val="clear" w:color="auto" w:fill="auto"/>
            <w:noWrap/>
            <w:vAlign w:val="bottom"/>
            <w:hideMark/>
          </w:tcPr>
          <w:p w14:paraId="5443A3D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680" w:type="dxa"/>
            <w:tcBorders>
              <w:top w:val="nil"/>
              <w:left w:val="nil"/>
              <w:bottom w:val="single" w:sz="4" w:space="0" w:color="000000"/>
              <w:right w:val="single" w:sz="4" w:space="0" w:color="000000"/>
            </w:tcBorders>
            <w:shd w:val="clear" w:color="auto" w:fill="auto"/>
            <w:noWrap/>
            <w:vAlign w:val="bottom"/>
            <w:hideMark/>
          </w:tcPr>
          <w:p w14:paraId="41F20A1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680" w:type="dxa"/>
            <w:tcBorders>
              <w:top w:val="nil"/>
              <w:left w:val="nil"/>
              <w:bottom w:val="single" w:sz="4" w:space="0" w:color="000000"/>
              <w:right w:val="single" w:sz="4" w:space="0" w:color="000000"/>
            </w:tcBorders>
            <w:shd w:val="clear" w:color="auto" w:fill="auto"/>
            <w:noWrap/>
            <w:vAlign w:val="bottom"/>
            <w:hideMark/>
          </w:tcPr>
          <w:p w14:paraId="7D7AB02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1135" w:type="dxa"/>
            <w:tcBorders>
              <w:top w:val="nil"/>
              <w:left w:val="nil"/>
              <w:bottom w:val="single" w:sz="4" w:space="0" w:color="000000"/>
              <w:right w:val="single" w:sz="4" w:space="0" w:color="000000"/>
            </w:tcBorders>
            <w:shd w:val="clear" w:color="auto" w:fill="auto"/>
            <w:noWrap/>
            <w:vAlign w:val="bottom"/>
            <w:hideMark/>
          </w:tcPr>
          <w:p w14:paraId="66C5D702"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38,07</w:t>
            </w:r>
          </w:p>
        </w:tc>
      </w:tr>
      <w:tr w:rsidR="00D22200" w:rsidRPr="00D22200" w14:paraId="04C3A175"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11A5EF6A"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lastRenderedPageBreak/>
              <w:t>Italy</w:t>
            </w:r>
          </w:p>
        </w:tc>
        <w:tc>
          <w:tcPr>
            <w:tcW w:w="640" w:type="dxa"/>
            <w:tcBorders>
              <w:top w:val="nil"/>
              <w:left w:val="nil"/>
              <w:bottom w:val="single" w:sz="4" w:space="0" w:color="000000"/>
              <w:right w:val="single" w:sz="4" w:space="0" w:color="000000"/>
            </w:tcBorders>
            <w:shd w:val="clear" w:color="auto" w:fill="auto"/>
            <w:noWrap/>
            <w:vAlign w:val="bottom"/>
            <w:hideMark/>
          </w:tcPr>
          <w:p w14:paraId="25DE63B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1,5</w:t>
            </w:r>
          </w:p>
        </w:tc>
        <w:tc>
          <w:tcPr>
            <w:tcW w:w="640" w:type="dxa"/>
            <w:tcBorders>
              <w:top w:val="nil"/>
              <w:left w:val="nil"/>
              <w:bottom w:val="single" w:sz="4" w:space="0" w:color="000000"/>
              <w:right w:val="single" w:sz="4" w:space="0" w:color="000000"/>
            </w:tcBorders>
            <w:shd w:val="clear" w:color="auto" w:fill="auto"/>
            <w:noWrap/>
            <w:vAlign w:val="bottom"/>
            <w:hideMark/>
          </w:tcPr>
          <w:p w14:paraId="5FA5264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w:t>
            </w:r>
          </w:p>
        </w:tc>
        <w:tc>
          <w:tcPr>
            <w:tcW w:w="640" w:type="dxa"/>
            <w:tcBorders>
              <w:top w:val="nil"/>
              <w:left w:val="nil"/>
              <w:bottom w:val="single" w:sz="4" w:space="0" w:color="000000"/>
              <w:right w:val="single" w:sz="4" w:space="0" w:color="000000"/>
            </w:tcBorders>
            <w:shd w:val="clear" w:color="auto" w:fill="auto"/>
            <w:noWrap/>
            <w:vAlign w:val="bottom"/>
            <w:hideMark/>
          </w:tcPr>
          <w:p w14:paraId="5DBA126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3,1</w:t>
            </w:r>
          </w:p>
        </w:tc>
        <w:tc>
          <w:tcPr>
            <w:tcW w:w="700" w:type="dxa"/>
            <w:tcBorders>
              <w:top w:val="nil"/>
              <w:left w:val="nil"/>
              <w:bottom w:val="single" w:sz="4" w:space="0" w:color="000000"/>
              <w:right w:val="single" w:sz="4" w:space="0" w:color="000000"/>
            </w:tcBorders>
            <w:shd w:val="clear" w:color="auto" w:fill="auto"/>
            <w:noWrap/>
            <w:vAlign w:val="bottom"/>
            <w:hideMark/>
          </w:tcPr>
          <w:p w14:paraId="46603A5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3,2</w:t>
            </w:r>
          </w:p>
        </w:tc>
        <w:tc>
          <w:tcPr>
            <w:tcW w:w="700" w:type="dxa"/>
            <w:tcBorders>
              <w:top w:val="nil"/>
              <w:left w:val="nil"/>
              <w:bottom w:val="single" w:sz="4" w:space="0" w:color="000000"/>
              <w:right w:val="single" w:sz="4" w:space="0" w:color="000000"/>
            </w:tcBorders>
            <w:shd w:val="clear" w:color="auto" w:fill="auto"/>
            <w:noWrap/>
            <w:vAlign w:val="bottom"/>
            <w:hideMark/>
          </w:tcPr>
          <w:p w14:paraId="74AA849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660" w:type="dxa"/>
            <w:tcBorders>
              <w:top w:val="nil"/>
              <w:left w:val="nil"/>
              <w:bottom w:val="single" w:sz="4" w:space="0" w:color="000000"/>
              <w:right w:val="single" w:sz="4" w:space="0" w:color="000000"/>
            </w:tcBorders>
            <w:shd w:val="clear" w:color="auto" w:fill="auto"/>
            <w:noWrap/>
            <w:vAlign w:val="bottom"/>
            <w:hideMark/>
          </w:tcPr>
          <w:p w14:paraId="4CADEAD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2,4</w:t>
            </w:r>
          </w:p>
        </w:tc>
        <w:tc>
          <w:tcPr>
            <w:tcW w:w="620" w:type="dxa"/>
            <w:tcBorders>
              <w:top w:val="nil"/>
              <w:left w:val="nil"/>
              <w:bottom w:val="single" w:sz="4" w:space="0" w:color="000000"/>
              <w:right w:val="single" w:sz="4" w:space="0" w:color="000000"/>
            </w:tcBorders>
            <w:shd w:val="clear" w:color="auto" w:fill="auto"/>
            <w:noWrap/>
            <w:vAlign w:val="bottom"/>
            <w:hideMark/>
          </w:tcPr>
          <w:p w14:paraId="47177E0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2,9</w:t>
            </w:r>
          </w:p>
        </w:tc>
        <w:tc>
          <w:tcPr>
            <w:tcW w:w="660" w:type="dxa"/>
            <w:tcBorders>
              <w:top w:val="nil"/>
              <w:left w:val="nil"/>
              <w:bottom w:val="single" w:sz="4" w:space="0" w:color="000000"/>
              <w:right w:val="single" w:sz="4" w:space="0" w:color="000000"/>
            </w:tcBorders>
            <w:shd w:val="clear" w:color="auto" w:fill="auto"/>
            <w:noWrap/>
            <w:vAlign w:val="bottom"/>
            <w:hideMark/>
          </w:tcPr>
          <w:p w14:paraId="6B4B457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0,9</w:t>
            </w:r>
          </w:p>
        </w:tc>
        <w:tc>
          <w:tcPr>
            <w:tcW w:w="680" w:type="dxa"/>
            <w:tcBorders>
              <w:top w:val="nil"/>
              <w:left w:val="nil"/>
              <w:bottom w:val="single" w:sz="4" w:space="0" w:color="000000"/>
              <w:right w:val="single" w:sz="4" w:space="0" w:color="000000"/>
            </w:tcBorders>
            <w:shd w:val="clear" w:color="auto" w:fill="auto"/>
            <w:noWrap/>
            <w:vAlign w:val="bottom"/>
            <w:hideMark/>
          </w:tcPr>
          <w:p w14:paraId="41B4951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w:t>
            </w:r>
          </w:p>
        </w:tc>
        <w:tc>
          <w:tcPr>
            <w:tcW w:w="680" w:type="dxa"/>
            <w:tcBorders>
              <w:top w:val="nil"/>
              <w:left w:val="nil"/>
              <w:bottom w:val="single" w:sz="4" w:space="0" w:color="000000"/>
              <w:right w:val="single" w:sz="4" w:space="0" w:color="000000"/>
            </w:tcBorders>
            <w:shd w:val="clear" w:color="auto" w:fill="auto"/>
            <w:noWrap/>
            <w:vAlign w:val="bottom"/>
            <w:hideMark/>
          </w:tcPr>
          <w:p w14:paraId="47C74E8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4,4</w:t>
            </w:r>
          </w:p>
        </w:tc>
        <w:tc>
          <w:tcPr>
            <w:tcW w:w="1135" w:type="dxa"/>
            <w:tcBorders>
              <w:top w:val="nil"/>
              <w:left w:val="nil"/>
              <w:bottom w:val="single" w:sz="4" w:space="0" w:color="000000"/>
              <w:right w:val="single" w:sz="4" w:space="0" w:color="000000"/>
            </w:tcBorders>
            <w:shd w:val="clear" w:color="auto" w:fill="auto"/>
            <w:noWrap/>
            <w:vAlign w:val="bottom"/>
            <w:hideMark/>
          </w:tcPr>
          <w:p w14:paraId="441C17A3"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29,45</w:t>
            </w:r>
          </w:p>
        </w:tc>
      </w:tr>
      <w:tr w:rsidR="00D22200" w:rsidRPr="00D22200" w14:paraId="239C5249"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6015C5CA"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Cyprus</w:t>
            </w:r>
          </w:p>
        </w:tc>
        <w:tc>
          <w:tcPr>
            <w:tcW w:w="640" w:type="dxa"/>
            <w:tcBorders>
              <w:top w:val="nil"/>
              <w:left w:val="nil"/>
              <w:bottom w:val="single" w:sz="4" w:space="0" w:color="000000"/>
              <w:right w:val="single" w:sz="4" w:space="0" w:color="000000"/>
            </w:tcBorders>
            <w:shd w:val="clear" w:color="auto" w:fill="auto"/>
            <w:noWrap/>
            <w:vAlign w:val="bottom"/>
            <w:hideMark/>
          </w:tcPr>
          <w:p w14:paraId="3E51D0B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5,0</w:t>
            </w:r>
          </w:p>
        </w:tc>
        <w:tc>
          <w:tcPr>
            <w:tcW w:w="640" w:type="dxa"/>
            <w:tcBorders>
              <w:top w:val="nil"/>
              <w:left w:val="nil"/>
              <w:bottom w:val="single" w:sz="4" w:space="0" w:color="000000"/>
              <w:right w:val="single" w:sz="4" w:space="0" w:color="000000"/>
            </w:tcBorders>
            <w:shd w:val="clear" w:color="auto" w:fill="auto"/>
            <w:noWrap/>
            <w:vAlign w:val="bottom"/>
            <w:hideMark/>
          </w:tcPr>
          <w:p w14:paraId="63C1D44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7,1</w:t>
            </w:r>
          </w:p>
        </w:tc>
        <w:tc>
          <w:tcPr>
            <w:tcW w:w="640" w:type="dxa"/>
            <w:tcBorders>
              <w:top w:val="nil"/>
              <w:left w:val="nil"/>
              <w:bottom w:val="single" w:sz="4" w:space="0" w:color="000000"/>
              <w:right w:val="single" w:sz="4" w:space="0" w:color="000000"/>
            </w:tcBorders>
            <w:shd w:val="clear" w:color="auto" w:fill="auto"/>
            <w:noWrap/>
            <w:vAlign w:val="bottom"/>
            <w:hideMark/>
          </w:tcPr>
          <w:p w14:paraId="1DF8832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5,7</w:t>
            </w:r>
          </w:p>
        </w:tc>
        <w:tc>
          <w:tcPr>
            <w:tcW w:w="700" w:type="dxa"/>
            <w:tcBorders>
              <w:top w:val="nil"/>
              <w:left w:val="nil"/>
              <w:bottom w:val="single" w:sz="4" w:space="0" w:color="000000"/>
              <w:right w:val="single" w:sz="4" w:space="0" w:color="000000"/>
            </w:tcBorders>
            <w:shd w:val="clear" w:color="auto" w:fill="auto"/>
            <w:noWrap/>
            <w:vAlign w:val="bottom"/>
            <w:hideMark/>
          </w:tcPr>
          <w:p w14:paraId="61CD2CB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5,6</w:t>
            </w:r>
          </w:p>
        </w:tc>
        <w:tc>
          <w:tcPr>
            <w:tcW w:w="700" w:type="dxa"/>
            <w:tcBorders>
              <w:top w:val="nil"/>
              <w:left w:val="nil"/>
              <w:bottom w:val="single" w:sz="4" w:space="0" w:color="000000"/>
              <w:right w:val="single" w:sz="4" w:space="0" w:color="000000"/>
            </w:tcBorders>
            <w:shd w:val="clear" w:color="auto" w:fill="auto"/>
            <w:noWrap/>
            <w:vAlign w:val="bottom"/>
            <w:hideMark/>
          </w:tcPr>
          <w:p w14:paraId="17393A6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6,3</w:t>
            </w:r>
          </w:p>
        </w:tc>
        <w:tc>
          <w:tcPr>
            <w:tcW w:w="660" w:type="dxa"/>
            <w:tcBorders>
              <w:top w:val="nil"/>
              <w:left w:val="nil"/>
              <w:bottom w:val="single" w:sz="4" w:space="0" w:color="000000"/>
              <w:right w:val="single" w:sz="4" w:space="0" w:color="000000"/>
            </w:tcBorders>
            <w:shd w:val="clear" w:color="auto" w:fill="auto"/>
            <w:noWrap/>
            <w:vAlign w:val="bottom"/>
            <w:hideMark/>
          </w:tcPr>
          <w:p w14:paraId="0981632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5,1</w:t>
            </w:r>
          </w:p>
        </w:tc>
        <w:tc>
          <w:tcPr>
            <w:tcW w:w="620" w:type="dxa"/>
            <w:tcBorders>
              <w:top w:val="nil"/>
              <w:left w:val="nil"/>
              <w:bottom w:val="single" w:sz="4" w:space="0" w:color="000000"/>
              <w:right w:val="single" w:sz="4" w:space="0" w:color="000000"/>
            </w:tcBorders>
            <w:shd w:val="clear" w:color="auto" w:fill="auto"/>
            <w:noWrap/>
            <w:vAlign w:val="bottom"/>
            <w:hideMark/>
          </w:tcPr>
          <w:p w14:paraId="43C650D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660" w:type="dxa"/>
            <w:tcBorders>
              <w:top w:val="nil"/>
              <w:left w:val="nil"/>
              <w:bottom w:val="single" w:sz="4" w:space="0" w:color="000000"/>
              <w:right w:val="single" w:sz="4" w:space="0" w:color="000000"/>
            </w:tcBorders>
            <w:shd w:val="clear" w:color="auto" w:fill="auto"/>
            <w:noWrap/>
            <w:vAlign w:val="bottom"/>
            <w:hideMark/>
          </w:tcPr>
          <w:p w14:paraId="2A1861B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4,7</w:t>
            </w:r>
          </w:p>
        </w:tc>
        <w:tc>
          <w:tcPr>
            <w:tcW w:w="680" w:type="dxa"/>
            <w:tcBorders>
              <w:top w:val="nil"/>
              <w:left w:val="nil"/>
              <w:bottom w:val="single" w:sz="4" w:space="0" w:color="000000"/>
              <w:right w:val="single" w:sz="4" w:space="0" w:color="000000"/>
            </w:tcBorders>
            <w:shd w:val="clear" w:color="auto" w:fill="auto"/>
            <w:noWrap/>
            <w:vAlign w:val="bottom"/>
            <w:hideMark/>
          </w:tcPr>
          <w:p w14:paraId="0469448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6,8</w:t>
            </w:r>
          </w:p>
        </w:tc>
        <w:tc>
          <w:tcPr>
            <w:tcW w:w="680" w:type="dxa"/>
            <w:tcBorders>
              <w:top w:val="nil"/>
              <w:left w:val="nil"/>
              <w:bottom w:val="single" w:sz="4" w:space="0" w:color="000000"/>
              <w:right w:val="single" w:sz="4" w:space="0" w:color="000000"/>
            </w:tcBorders>
            <w:shd w:val="clear" w:color="auto" w:fill="auto"/>
            <w:noWrap/>
            <w:vAlign w:val="bottom"/>
            <w:hideMark/>
          </w:tcPr>
          <w:p w14:paraId="5576DED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6,4</w:t>
            </w:r>
          </w:p>
        </w:tc>
        <w:tc>
          <w:tcPr>
            <w:tcW w:w="1135" w:type="dxa"/>
            <w:tcBorders>
              <w:top w:val="nil"/>
              <w:left w:val="nil"/>
              <w:bottom w:val="single" w:sz="4" w:space="0" w:color="000000"/>
              <w:right w:val="single" w:sz="4" w:space="0" w:color="000000"/>
            </w:tcBorders>
            <w:shd w:val="clear" w:color="auto" w:fill="auto"/>
            <w:noWrap/>
            <w:vAlign w:val="bottom"/>
            <w:hideMark/>
          </w:tcPr>
          <w:p w14:paraId="4C4F91E1"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73,35</w:t>
            </w:r>
          </w:p>
        </w:tc>
      </w:tr>
      <w:tr w:rsidR="00D22200" w:rsidRPr="00D22200" w14:paraId="098488F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3F0D836D"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Latvia</w:t>
            </w:r>
          </w:p>
        </w:tc>
        <w:tc>
          <w:tcPr>
            <w:tcW w:w="640" w:type="dxa"/>
            <w:tcBorders>
              <w:top w:val="nil"/>
              <w:left w:val="nil"/>
              <w:bottom w:val="single" w:sz="4" w:space="0" w:color="000000"/>
              <w:right w:val="single" w:sz="4" w:space="0" w:color="000000"/>
            </w:tcBorders>
            <w:shd w:val="clear" w:color="auto" w:fill="auto"/>
            <w:noWrap/>
            <w:vAlign w:val="bottom"/>
            <w:hideMark/>
          </w:tcPr>
          <w:p w14:paraId="0477BC5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5,1</w:t>
            </w:r>
          </w:p>
        </w:tc>
        <w:tc>
          <w:tcPr>
            <w:tcW w:w="640" w:type="dxa"/>
            <w:tcBorders>
              <w:top w:val="nil"/>
              <w:left w:val="nil"/>
              <w:bottom w:val="single" w:sz="4" w:space="0" w:color="000000"/>
              <w:right w:val="single" w:sz="4" w:space="0" w:color="000000"/>
            </w:tcBorders>
            <w:shd w:val="clear" w:color="auto" w:fill="auto"/>
            <w:noWrap/>
            <w:vAlign w:val="bottom"/>
            <w:hideMark/>
          </w:tcPr>
          <w:p w14:paraId="008079D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3,2</w:t>
            </w:r>
          </w:p>
        </w:tc>
        <w:tc>
          <w:tcPr>
            <w:tcW w:w="640" w:type="dxa"/>
            <w:tcBorders>
              <w:top w:val="nil"/>
              <w:left w:val="nil"/>
              <w:bottom w:val="single" w:sz="4" w:space="0" w:color="000000"/>
              <w:right w:val="single" w:sz="4" w:space="0" w:color="000000"/>
            </w:tcBorders>
            <w:shd w:val="clear" w:color="auto" w:fill="auto"/>
            <w:noWrap/>
            <w:vAlign w:val="bottom"/>
            <w:hideMark/>
          </w:tcPr>
          <w:p w14:paraId="5BCE339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7,5</w:t>
            </w:r>
          </w:p>
        </w:tc>
        <w:tc>
          <w:tcPr>
            <w:tcW w:w="700" w:type="dxa"/>
            <w:tcBorders>
              <w:top w:val="nil"/>
              <w:left w:val="nil"/>
              <w:bottom w:val="single" w:sz="4" w:space="0" w:color="000000"/>
              <w:right w:val="single" w:sz="4" w:space="0" w:color="000000"/>
            </w:tcBorders>
            <w:shd w:val="clear" w:color="auto" w:fill="auto"/>
            <w:noWrap/>
            <w:vAlign w:val="bottom"/>
            <w:hideMark/>
          </w:tcPr>
          <w:p w14:paraId="109D506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8,4</w:t>
            </w:r>
          </w:p>
        </w:tc>
        <w:tc>
          <w:tcPr>
            <w:tcW w:w="700" w:type="dxa"/>
            <w:tcBorders>
              <w:top w:val="nil"/>
              <w:left w:val="nil"/>
              <w:bottom w:val="single" w:sz="4" w:space="0" w:color="000000"/>
              <w:right w:val="single" w:sz="4" w:space="0" w:color="000000"/>
            </w:tcBorders>
            <w:shd w:val="clear" w:color="auto" w:fill="auto"/>
            <w:noWrap/>
            <w:vAlign w:val="bottom"/>
            <w:hideMark/>
          </w:tcPr>
          <w:p w14:paraId="7E22D8C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10,1</w:t>
            </w:r>
          </w:p>
        </w:tc>
        <w:tc>
          <w:tcPr>
            <w:tcW w:w="660" w:type="dxa"/>
            <w:tcBorders>
              <w:top w:val="nil"/>
              <w:left w:val="nil"/>
              <w:bottom w:val="single" w:sz="4" w:space="0" w:color="000000"/>
              <w:right w:val="single" w:sz="4" w:space="0" w:color="000000"/>
            </w:tcBorders>
            <w:shd w:val="clear" w:color="auto" w:fill="auto"/>
            <w:noWrap/>
            <w:vAlign w:val="bottom"/>
            <w:hideMark/>
          </w:tcPr>
          <w:p w14:paraId="19E36E8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10,6</w:t>
            </w:r>
          </w:p>
        </w:tc>
        <w:tc>
          <w:tcPr>
            <w:tcW w:w="620" w:type="dxa"/>
            <w:tcBorders>
              <w:top w:val="nil"/>
              <w:left w:val="nil"/>
              <w:bottom w:val="single" w:sz="4" w:space="0" w:color="000000"/>
              <w:right w:val="single" w:sz="4" w:space="0" w:color="000000"/>
            </w:tcBorders>
            <w:shd w:val="clear" w:color="auto" w:fill="auto"/>
            <w:noWrap/>
            <w:vAlign w:val="bottom"/>
            <w:hideMark/>
          </w:tcPr>
          <w:p w14:paraId="45145D9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15,1</w:t>
            </w:r>
          </w:p>
        </w:tc>
        <w:tc>
          <w:tcPr>
            <w:tcW w:w="660" w:type="dxa"/>
            <w:tcBorders>
              <w:top w:val="nil"/>
              <w:left w:val="nil"/>
              <w:bottom w:val="single" w:sz="4" w:space="0" w:color="000000"/>
              <w:right w:val="single" w:sz="4" w:space="0" w:color="000000"/>
            </w:tcBorders>
            <w:shd w:val="clear" w:color="auto" w:fill="auto"/>
            <w:noWrap/>
            <w:vAlign w:val="bottom"/>
            <w:hideMark/>
          </w:tcPr>
          <w:p w14:paraId="3957C30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23,3</w:t>
            </w:r>
          </w:p>
        </w:tc>
        <w:tc>
          <w:tcPr>
            <w:tcW w:w="680" w:type="dxa"/>
            <w:tcBorders>
              <w:top w:val="nil"/>
              <w:left w:val="nil"/>
              <w:bottom w:val="single" w:sz="4" w:space="0" w:color="000000"/>
              <w:right w:val="single" w:sz="4" w:space="0" w:color="000000"/>
            </w:tcBorders>
            <w:shd w:val="clear" w:color="auto" w:fill="auto"/>
            <w:noWrap/>
            <w:vAlign w:val="bottom"/>
            <w:hideMark/>
          </w:tcPr>
          <w:p w14:paraId="76E0999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30,3</w:t>
            </w:r>
          </w:p>
        </w:tc>
        <w:tc>
          <w:tcPr>
            <w:tcW w:w="680" w:type="dxa"/>
            <w:tcBorders>
              <w:top w:val="nil"/>
              <w:left w:val="nil"/>
              <w:bottom w:val="single" w:sz="4" w:space="0" w:color="000000"/>
              <w:right w:val="single" w:sz="4" w:space="0" w:color="000000"/>
            </w:tcBorders>
            <w:shd w:val="clear" w:color="auto" w:fill="auto"/>
            <w:noWrap/>
            <w:vAlign w:val="bottom"/>
            <w:hideMark/>
          </w:tcPr>
          <w:p w14:paraId="2171E1D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23,4</w:t>
            </w:r>
          </w:p>
        </w:tc>
        <w:tc>
          <w:tcPr>
            <w:tcW w:w="1135" w:type="dxa"/>
            <w:tcBorders>
              <w:top w:val="nil"/>
              <w:left w:val="nil"/>
              <w:bottom w:val="single" w:sz="4" w:space="0" w:color="000000"/>
              <w:right w:val="single" w:sz="4" w:space="0" w:color="000000"/>
            </w:tcBorders>
            <w:shd w:val="clear" w:color="auto" w:fill="auto"/>
            <w:noWrap/>
            <w:vAlign w:val="bottom"/>
            <w:hideMark/>
          </w:tcPr>
          <w:p w14:paraId="28F2E694"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251,20</w:t>
            </w:r>
          </w:p>
        </w:tc>
      </w:tr>
      <w:tr w:rsidR="00D22200" w:rsidRPr="00D22200" w14:paraId="1E2D47D3"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3C8662D6"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Lithuania</w:t>
            </w:r>
          </w:p>
        </w:tc>
        <w:tc>
          <w:tcPr>
            <w:tcW w:w="640" w:type="dxa"/>
            <w:tcBorders>
              <w:top w:val="nil"/>
              <w:left w:val="nil"/>
              <w:bottom w:val="single" w:sz="4" w:space="0" w:color="000000"/>
              <w:right w:val="single" w:sz="4" w:space="0" w:color="000000"/>
            </w:tcBorders>
            <w:shd w:val="clear" w:color="auto" w:fill="auto"/>
            <w:noWrap/>
            <w:vAlign w:val="bottom"/>
            <w:hideMark/>
          </w:tcPr>
          <w:p w14:paraId="0A8A8B0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10,7</w:t>
            </w:r>
          </w:p>
        </w:tc>
        <w:tc>
          <w:tcPr>
            <w:tcW w:w="640" w:type="dxa"/>
            <w:tcBorders>
              <w:top w:val="nil"/>
              <w:left w:val="nil"/>
              <w:bottom w:val="single" w:sz="4" w:space="0" w:color="000000"/>
              <w:right w:val="single" w:sz="4" w:space="0" w:color="000000"/>
            </w:tcBorders>
            <w:shd w:val="clear" w:color="auto" w:fill="auto"/>
            <w:noWrap/>
            <w:vAlign w:val="bottom"/>
            <w:hideMark/>
          </w:tcPr>
          <w:p w14:paraId="00054D5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-4,3</w:t>
            </w:r>
          </w:p>
        </w:tc>
        <w:tc>
          <w:tcPr>
            <w:tcW w:w="640" w:type="dxa"/>
            <w:tcBorders>
              <w:top w:val="nil"/>
              <w:left w:val="nil"/>
              <w:bottom w:val="single" w:sz="4" w:space="0" w:color="000000"/>
              <w:right w:val="single" w:sz="4" w:space="0" w:color="000000"/>
            </w:tcBorders>
            <w:shd w:val="clear" w:color="auto" w:fill="auto"/>
            <w:noWrap/>
            <w:vAlign w:val="bottom"/>
            <w:hideMark/>
          </w:tcPr>
          <w:p w14:paraId="6675A1E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1,1</w:t>
            </w:r>
          </w:p>
        </w:tc>
        <w:tc>
          <w:tcPr>
            <w:tcW w:w="700" w:type="dxa"/>
            <w:tcBorders>
              <w:top w:val="nil"/>
              <w:left w:val="nil"/>
              <w:bottom w:val="single" w:sz="4" w:space="0" w:color="000000"/>
              <w:right w:val="single" w:sz="4" w:space="0" w:color="000000"/>
            </w:tcBorders>
            <w:shd w:val="clear" w:color="auto" w:fill="auto"/>
            <w:noWrap/>
            <w:vAlign w:val="bottom"/>
            <w:hideMark/>
          </w:tcPr>
          <w:p w14:paraId="49D01E5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4,2</w:t>
            </w:r>
          </w:p>
        </w:tc>
        <w:tc>
          <w:tcPr>
            <w:tcW w:w="700" w:type="dxa"/>
            <w:tcBorders>
              <w:top w:val="nil"/>
              <w:left w:val="nil"/>
              <w:bottom w:val="single" w:sz="4" w:space="0" w:color="000000"/>
              <w:right w:val="single" w:sz="4" w:space="0" w:color="000000"/>
            </w:tcBorders>
            <w:shd w:val="clear" w:color="auto" w:fill="auto"/>
            <w:noWrap/>
            <w:vAlign w:val="bottom"/>
            <w:hideMark/>
          </w:tcPr>
          <w:p w14:paraId="5027C82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660" w:type="dxa"/>
            <w:tcBorders>
              <w:top w:val="nil"/>
              <w:left w:val="nil"/>
              <w:bottom w:val="single" w:sz="4" w:space="0" w:color="000000"/>
              <w:right w:val="single" w:sz="4" w:space="0" w:color="000000"/>
            </w:tcBorders>
            <w:shd w:val="clear" w:color="auto" w:fill="auto"/>
            <w:noWrap/>
            <w:vAlign w:val="bottom"/>
            <w:hideMark/>
          </w:tcPr>
          <w:p w14:paraId="2135E83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4,5</w:t>
            </w:r>
          </w:p>
        </w:tc>
        <w:tc>
          <w:tcPr>
            <w:tcW w:w="620" w:type="dxa"/>
            <w:tcBorders>
              <w:top w:val="nil"/>
              <w:left w:val="nil"/>
              <w:bottom w:val="single" w:sz="4" w:space="0" w:color="000000"/>
              <w:right w:val="single" w:sz="4" w:space="0" w:color="000000"/>
            </w:tcBorders>
            <w:shd w:val="clear" w:color="auto" w:fill="auto"/>
            <w:noWrap/>
            <w:vAlign w:val="bottom"/>
            <w:hideMark/>
          </w:tcPr>
          <w:p w14:paraId="2C1974D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11,4</w:t>
            </w:r>
          </w:p>
        </w:tc>
        <w:tc>
          <w:tcPr>
            <w:tcW w:w="660" w:type="dxa"/>
            <w:tcBorders>
              <w:top w:val="nil"/>
              <w:left w:val="nil"/>
              <w:bottom w:val="single" w:sz="4" w:space="0" w:color="000000"/>
              <w:right w:val="single" w:sz="4" w:space="0" w:color="000000"/>
            </w:tcBorders>
            <w:shd w:val="clear" w:color="auto" w:fill="auto"/>
            <w:noWrap/>
            <w:vAlign w:val="bottom"/>
            <w:hideMark/>
          </w:tcPr>
          <w:p w14:paraId="67A4628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18,5</w:t>
            </w:r>
          </w:p>
        </w:tc>
        <w:tc>
          <w:tcPr>
            <w:tcW w:w="680" w:type="dxa"/>
            <w:tcBorders>
              <w:top w:val="nil"/>
              <w:left w:val="nil"/>
              <w:bottom w:val="single" w:sz="4" w:space="0" w:color="000000"/>
              <w:right w:val="single" w:sz="4" w:space="0" w:color="000000"/>
            </w:tcBorders>
            <w:shd w:val="clear" w:color="auto" w:fill="auto"/>
            <w:noWrap/>
            <w:vAlign w:val="bottom"/>
            <w:hideMark/>
          </w:tcPr>
          <w:p w14:paraId="2864A9A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20,9</w:t>
            </w:r>
          </w:p>
        </w:tc>
        <w:tc>
          <w:tcPr>
            <w:tcW w:w="680" w:type="dxa"/>
            <w:tcBorders>
              <w:top w:val="nil"/>
              <w:left w:val="nil"/>
              <w:bottom w:val="single" w:sz="4" w:space="0" w:color="000000"/>
              <w:right w:val="single" w:sz="4" w:space="0" w:color="000000"/>
            </w:tcBorders>
            <w:shd w:val="clear" w:color="auto" w:fill="auto"/>
            <w:noWrap/>
            <w:vAlign w:val="bottom"/>
            <w:hideMark/>
          </w:tcPr>
          <w:p w14:paraId="38CCAED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17,2</w:t>
            </w:r>
          </w:p>
        </w:tc>
        <w:tc>
          <w:tcPr>
            <w:tcW w:w="1135" w:type="dxa"/>
            <w:tcBorders>
              <w:top w:val="nil"/>
              <w:left w:val="nil"/>
              <w:bottom w:val="single" w:sz="4" w:space="0" w:color="000000"/>
              <w:right w:val="single" w:sz="4" w:space="0" w:color="000000"/>
            </w:tcBorders>
            <w:shd w:val="clear" w:color="auto" w:fill="auto"/>
            <w:noWrap/>
            <w:vAlign w:val="bottom"/>
            <w:hideMark/>
          </w:tcPr>
          <w:p w14:paraId="1F5BC1FA"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126,66</w:t>
            </w:r>
          </w:p>
        </w:tc>
      </w:tr>
      <w:tr w:rsidR="00D22200" w:rsidRPr="00D22200" w14:paraId="21DFFD10"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4A291F60"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Luxembourg</w:t>
            </w:r>
          </w:p>
        </w:tc>
        <w:tc>
          <w:tcPr>
            <w:tcW w:w="640" w:type="dxa"/>
            <w:tcBorders>
              <w:top w:val="nil"/>
              <w:left w:val="nil"/>
              <w:bottom w:val="single" w:sz="4" w:space="0" w:color="000000"/>
              <w:right w:val="single" w:sz="4" w:space="0" w:color="000000"/>
            </w:tcBorders>
            <w:shd w:val="clear" w:color="auto" w:fill="auto"/>
            <w:noWrap/>
            <w:vAlign w:val="bottom"/>
            <w:hideMark/>
          </w:tcPr>
          <w:p w14:paraId="26A588C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2,5</w:t>
            </w:r>
          </w:p>
        </w:tc>
        <w:tc>
          <w:tcPr>
            <w:tcW w:w="640" w:type="dxa"/>
            <w:tcBorders>
              <w:top w:val="nil"/>
              <w:left w:val="nil"/>
              <w:bottom w:val="single" w:sz="4" w:space="0" w:color="000000"/>
              <w:right w:val="single" w:sz="4" w:space="0" w:color="000000"/>
            </w:tcBorders>
            <w:shd w:val="clear" w:color="auto" w:fill="auto"/>
            <w:noWrap/>
            <w:vAlign w:val="bottom"/>
            <w:hideMark/>
          </w:tcPr>
          <w:p w14:paraId="377D318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4,0</w:t>
            </w:r>
          </w:p>
        </w:tc>
        <w:tc>
          <w:tcPr>
            <w:tcW w:w="640" w:type="dxa"/>
            <w:tcBorders>
              <w:top w:val="nil"/>
              <w:left w:val="nil"/>
              <w:bottom w:val="single" w:sz="4" w:space="0" w:color="000000"/>
              <w:right w:val="single" w:sz="4" w:space="0" w:color="000000"/>
            </w:tcBorders>
            <w:shd w:val="clear" w:color="auto" w:fill="auto"/>
            <w:noWrap/>
            <w:vAlign w:val="bottom"/>
            <w:hideMark/>
          </w:tcPr>
          <w:p w14:paraId="58E0FB5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4,8</w:t>
            </w:r>
          </w:p>
        </w:tc>
        <w:tc>
          <w:tcPr>
            <w:tcW w:w="700" w:type="dxa"/>
            <w:tcBorders>
              <w:top w:val="nil"/>
              <w:left w:val="nil"/>
              <w:bottom w:val="single" w:sz="4" w:space="0" w:color="000000"/>
              <w:right w:val="single" w:sz="4" w:space="0" w:color="000000"/>
            </w:tcBorders>
            <w:shd w:val="clear" w:color="auto" w:fill="auto"/>
            <w:noWrap/>
            <w:vAlign w:val="bottom"/>
            <w:hideMark/>
          </w:tcPr>
          <w:p w14:paraId="4A169AB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700" w:type="dxa"/>
            <w:tcBorders>
              <w:top w:val="nil"/>
              <w:left w:val="nil"/>
              <w:bottom w:val="single" w:sz="4" w:space="0" w:color="000000"/>
              <w:right w:val="single" w:sz="4" w:space="0" w:color="000000"/>
            </w:tcBorders>
            <w:shd w:val="clear" w:color="auto" w:fill="auto"/>
            <w:noWrap/>
            <w:vAlign w:val="bottom"/>
            <w:hideMark/>
          </w:tcPr>
          <w:p w14:paraId="6039FFB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660" w:type="dxa"/>
            <w:tcBorders>
              <w:top w:val="nil"/>
              <w:left w:val="nil"/>
              <w:bottom w:val="single" w:sz="4" w:space="0" w:color="000000"/>
              <w:right w:val="single" w:sz="4" w:space="0" w:color="000000"/>
            </w:tcBorders>
            <w:shd w:val="clear" w:color="auto" w:fill="auto"/>
            <w:noWrap/>
            <w:vAlign w:val="bottom"/>
            <w:hideMark/>
          </w:tcPr>
          <w:p w14:paraId="2C15351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w:t>
            </w:r>
          </w:p>
        </w:tc>
        <w:tc>
          <w:tcPr>
            <w:tcW w:w="620" w:type="dxa"/>
            <w:tcBorders>
              <w:top w:val="nil"/>
              <w:left w:val="nil"/>
              <w:bottom w:val="single" w:sz="4" w:space="0" w:color="000000"/>
              <w:right w:val="single" w:sz="4" w:space="0" w:color="000000"/>
            </w:tcBorders>
            <w:shd w:val="clear" w:color="auto" w:fill="auto"/>
            <w:noWrap/>
            <w:vAlign w:val="bottom"/>
            <w:hideMark/>
          </w:tcPr>
          <w:p w14:paraId="44A303C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4,2</w:t>
            </w:r>
          </w:p>
        </w:tc>
        <w:tc>
          <w:tcPr>
            <w:tcW w:w="660" w:type="dxa"/>
            <w:tcBorders>
              <w:top w:val="nil"/>
              <w:left w:val="nil"/>
              <w:bottom w:val="single" w:sz="4" w:space="0" w:color="000000"/>
              <w:right w:val="single" w:sz="4" w:space="0" w:color="000000"/>
            </w:tcBorders>
            <w:shd w:val="clear" w:color="auto" w:fill="auto"/>
            <w:noWrap/>
            <w:vAlign w:val="bottom"/>
            <w:hideMark/>
          </w:tcPr>
          <w:p w14:paraId="3CD5DC1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2,5</w:t>
            </w:r>
          </w:p>
        </w:tc>
        <w:tc>
          <w:tcPr>
            <w:tcW w:w="680" w:type="dxa"/>
            <w:tcBorders>
              <w:top w:val="nil"/>
              <w:left w:val="nil"/>
              <w:bottom w:val="single" w:sz="4" w:space="0" w:color="000000"/>
              <w:right w:val="single" w:sz="4" w:space="0" w:color="000000"/>
            </w:tcBorders>
            <w:shd w:val="clear" w:color="auto" w:fill="auto"/>
            <w:noWrap/>
            <w:vAlign w:val="bottom"/>
            <w:hideMark/>
          </w:tcPr>
          <w:p w14:paraId="736A1C0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2,1</w:t>
            </w:r>
          </w:p>
        </w:tc>
        <w:tc>
          <w:tcPr>
            <w:tcW w:w="680" w:type="dxa"/>
            <w:tcBorders>
              <w:top w:val="nil"/>
              <w:left w:val="nil"/>
              <w:bottom w:val="single" w:sz="4" w:space="0" w:color="000000"/>
              <w:right w:val="single" w:sz="4" w:space="0" w:color="000000"/>
            </w:tcBorders>
            <w:shd w:val="clear" w:color="auto" w:fill="auto"/>
            <w:noWrap/>
            <w:vAlign w:val="bottom"/>
            <w:hideMark/>
          </w:tcPr>
          <w:p w14:paraId="48C2FE8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1135" w:type="dxa"/>
            <w:tcBorders>
              <w:top w:val="nil"/>
              <w:left w:val="nil"/>
              <w:bottom w:val="single" w:sz="4" w:space="0" w:color="000000"/>
              <w:right w:val="single" w:sz="4" w:space="0" w:color="000000"/>
            </w:tcBorders>
            <w:shd w:val="clear" w:color="auto" w:fill="auto"/>
            <w:noWrap/>
            <w:vAlign w:val="bottom"/>
            <w:hideMark/>
          </w:tcPr>
          <w:p w14:paraId="7BAC73B6"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39,11</w:t>
            </w:r>
          </w:p>
        </w:tc>
      </w:tr>
      <w:tr w:rsidR="00D22200" w:rsidRPr="00D22200" w14:paraId="1E718DE6"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28FC10AD"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Hungary</w:t>
            </w:r>
          </w:p>
        </w:tc>
        <w:tc>
          <w:tcPr>
            <w:tcW w:w="640" w:type="dxa"/>
            <w:tcBorders>
              <w:top w:val="nil"/>
              <w:left w:val="nil"/>
              <w:bottom w:val="single" w:sz="4" w:space="0" w:color="000000"/>
              <w:right w:val="single" w:sz="4" w:space="0" w:color="000000"/>
            </w:tcBorders>
            <w:shd w:val="clear" w:color="auto" w:fill="auto"/>
            <w:noWrap/>
            <w:vAlign w:val="bottom"/>
            <w:hideMark/>
          </w:tcPr>
          <w:p w14:paraId="691889B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9,0</w:t>
            </w:r>
          </w:p>
        </w:tc>
        <w:tc>
          <w:tcPr>
            <w:tcW w:w="640" w:type="dxa"/>
            <w:tcBorders>
              <w:top w:val="nil"/>
              <w:left w:val="nil"/>
              <w:bottom w:val="single" w:sz="4" w:space="0" w:color="000000"/>
              <w:right w:val="single" w:sz="4" w:space="0" w:color="000000"/>
            </w:tcBorders>
            <w:shd w:val="clear" w:color="auto" w:fill="auto"/>
            <w:noWrap/>
            <w:vAlign w:val="bottom"/>
            <w:hideMark/>
          </w:tcPr>
          <w:p w14:paraId="6D6865F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14,2</w:t>
            </w:r>
          </w:p>
        </w:tc>
        <w:tc>
          <w:tcPr>
            <w:tcW w:w="640" w:type="dxa"/>
            <w:tcBorders>
              <w:top w:val="nil"/>
              <w:left w:val="nil"/>
              <w:bottom w:val="single" w:sz="4" w:space="0" w:color="000000"/>
              <w:right w:val="single" w:sz="4" w:space="0" w:color="000000"/>
            </w:tcBorders>
            <w:shd w:val="clear" w:color="auto" w:fill="auto"/>
            <w:noWrap/>
            <w:vAlign w:val="bottom"/>
            <w:hideMark/>
          </w:tcPr>
          <w:p w14:paraId="591D3DF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14,8</w:t>
            </w:r>
          </w:p>
        </w:tc>
        <w:tc>
          <w:tcPr>
            <w:tcW w:w="700" w:type="dxa"/>
            <w:tcBorders>
              <w:top w:val="nil"/>
              <w:left w:val="nil"/>
              <w:bottom w:val="single" w:sz="4" w:space="0" w:color="000000"/>
              <w:right w:val="single" w:sz="4" w:space="0" w:color="000000"/>
            </w:tcBorders>
            <w:shd w:val="clear" w:color="auto" w:fill="auto"/>
            <w:noWrap/>
            <w:vAlign w:val="bottom"/>
            <w:hideMark/>
          </w:tcPr>
          <w:p w14:paraId="51DF79F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13,6</w:t>
            </w:r>
          </w:p>
        </w:tc>
        <w:tc>
          <w:tcPr>
            <w:tcW w:w="700" w:type="dxa"/>
            <w:tcBorders>
              <w:top w:val="nil"/>
              <w:left w:val="nil"/>
              <w:bottom w:val="single" w:sz="4" w:space="0" w:color="000000"/>
              <w:right w:val="single" w:sz="4" w:space="0" w:color="000000"/>
            </w:tcBorders>
            <w:shd w:val="clear" w:color="auto" w:fill="auto"/>
            <w:noWrap/>
            <w:vAlign w:val="bottom"/>
            <w:hideMark/>
          </w:tcPr>
          <w:p w14:paraId="0556998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6,2</w:t>
            </w:r>
          </w:p>
        </w:tc>
        <w:tc>
          <w:tcPr>
            <w:tcW w:w="660" w:type="dxa"/>
            <w:tcBorders>
              <w:top w:val="nil"/>
              <w:left w:val="nil"/>
              <w:bottom w:val="single" w:sz="4" w:space="0" w:color="000000"/>
              <w:right w:val="single" w:sz="4" w:space="0" w:color="000000"/>
            </w:tcBorders>
            <w:shd w:val="clear" w:color="auto" w:fill="auto"/>
            <w:noWrap/>
            <w:vAlign w:val="bottom"/>
            <w:hideMark/>
          </w:tcPr>
          <w:p w14:paraId="664D7F2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8,6</w:t>
            </w:r>
          </w:p>
        </w:tc>
        <w:tc>
          <w:tcPr>
            <w:tcW w:w="620" w:type="dxa"/>
            <w:tcBorders>
              <w:top w:val="nil"/>
              <w:left w:val="nil"/>
              <w:bottom w:val="single" w:sz="4" w:space="0" w:color="000000"/>
              <w:right w:val="single" w:sz="4" w:space="0" w:color="000000"/>
            </w:tcBorders>
            <w:shd w:val="clear" w:color="auto" w:fill="auto"/>
            <w:noWrap/>
            <w:vAlign w:val="bottom"/>
            <w:hideMark/>
          </w:tcPr>
          <w:p w14:paraId="4612E4B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7,3</w:t>
            </w:r>
          </w:p>
        </w:tc>
        <w:tc>
          <w:tcPr>
            <w:tcW w:w="660" w:type="dxa"/>
            <w:tcBorders>
              <w:top w:val="nil"/>
              <w:left w:val="nil"/>
              <w:bottom w:val="single" w:sz="4" w:space="0" w:color="000000"/>
              <w:right w:val="single" w:sz="4" w:space="0" w:color="000000"/>
            </w:tcBorders>
            <w:shd w:val="clear" w:color="auto" w:fill="auto"/>
            <w:noWrap/>
            <w:vAlign w:val="bottom"/>
            <w:hideMark/>
          </w:tcPr>
          <w:p w14:paraId="5DDCFE2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8,9</w:t>
            </w:r>
          </w:p>
        </w:tc>
        <w:tc>
          <w:tcPr>
            <w:tcW w:w="680" w:type="dxa"/>
            <w:tcBorders>
              <w:top w:val="nil"/>
              <w:left w:val="nil"/>
              <w:bottom w:val="single" w:sz="4" w:space="0" w:color="000000"/>
              <w:right w:val="single" w:sz="4" w:space="0" w:color="000000"/>
            </w:tcBorders>
            <w:shd w:val="clear" w:color="auto" w:fill="auto"/>
            <w:noWrap/>
            <w:vAlign w:val="bottom"/>
            <w:hideMark/>
          </w:tcPr>
          <w:p w14:paraId="020EBE1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9,6</w:t>
            </w:r>
          </w:p>
        </w:tc>
        <w:tc>
          <w:tcPr>
            <w:tcW w:w="680" w:type="dxa"/>
            <w:tcBorders>
              <w:top w:val="nil"/>
              <w:left w:val="nil"/>
              <w:bottom w:val="single" w:sz="4" w:space="0" w:color="000000"/>
              <w:right w:val="single" w:sz="4" w:space="0" w:color="000000"/>
            </w:tcBorders>
            <w:shd w:val="clear" w:color="auto" w:fill="auto"/>
            <w:noWrap/>
            <w:vAlign w:val="bottom"/>
            <w:hideMark/>
          </w:tcPr>
          <w:p w14:paraId="0A9F3A5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8,0</w:t>
            </w:r>
          </w:p>
        </w:tc>
        <w:tc>
          <w:tcPr>
            <w:tcW w:w="1135" w:type="dxa"/>
            <w:tcBorders>
              <w:top w:val="nil"/>
              <w:left w:val="nil"/>
              <w:bottom w:val="single" w:sz="4" w:space="0" w:color="000000"/>
              <w:right w:val="single" w:sz="4" w:space="0" w:color="000000"/>
            </w:tcBorders>
            <w:shd w:val="clear" w:color="auto" w:fill="auto"/>
            <w:noWrap/>
            <w:vAlign w:val="bottom"/>
            <w:hideMark/>
          </w:tcPr>
          <w:p w14:paraId="198F02F7"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158,96</w:t>
            </w:r>
          </w:p>
        </w:tc>
      </w:tr>
      <w:tr w:rsidR="00D22200" w:rsidRPr="00D22200" w14:paraId="3B5E8EF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055D626C"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Malta</w:t>
            </w:r>
          </w:p>
        </w:tc>
        <w:tc>
          <w:tcPr>
            <w:tcW w:w="640" w:type="dxa"/>
            <w:tcBorders>
              <w:top w:val="nil"/>
              <w:left w:val="nil"/>
              <w:bottom w:val="single" w:sz="4" w:space="0" w:color="000000"/>
              <w:right w:val="single" w:sz="4" w:space="0" w:color="000000"/>
            </w:tcBorders>
            <w:shd w:val="clear" w:color="auto" w:fill="auto"/>
            <w:noWrap/>
            <w:vAlign w:val="bottom"/>
            <w:hideMark/>
          </w:tcPr>
          <w:p w14:paraId="6A958B5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7,5</w:t>
            </w:r>
          </w:p>
        </w:tc>
        <w:tc>
          <w:tcPr>
            <w:tcW w:w="640" w:type="dxa"/>
            <w:tcBorders>
              <w:top w:val="nil"/>
              <w:left w:val="nil"/>
              <w:bottom w:val="single" w:sz="4" w:space="0" w:color="000000"/>
              <w:right w:val="single" w:sz="4" w:space="0" w:color="000000"/>
            </w:tcBorders>
            <w:shd w:val="clear" w:color="auto" w:fill="auto"/>
            <w:noWrap/>
            <w:vAlign w:val="bottom"/>
            <w:hideMark/>
          </w:tcPr>
          <w:p w14:paraId="06101A8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5,3</w:t>
            </w:r>
          </w:p>
        </w:tc>
        <w:tc>
          <w:tcPr>
            <w:tcW w:w="640" w:type="dxa"/>
            <w:tcBorders>
              <w:top w:val="nil"/>
              <w:left w:val="nil"/>
              <w:bottom w:val="single" w:sz="4" w:space="0" w:color="000000"/>
              <w:right w:val="single" w:sz="4" w:space="0" w:color="000000"/>
            </w:tcBorders>
            <w:shd w:val="clear" w:color="auto" w:fill="auto"/>
            <w:noWrap/>
            <w:vAlign w:val="bottom"/>
            <w:hideMark/>
          </w:tcPr>
          <w:p w14:paraId="32D5B35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3,6</w:t>
            </w:r>
          </w:p>
        </w:tc>
        <w:tc>
          <w:tcPr>
            <w:tcW w:w="700" w:type="dxa"/>
            <w:tcBorders>
              <w:top w:val="nil"/>
              <w:left w:val="nil"/>
              <w:bottom w:val="single" w:sz="4" w:space="0" w:color="000000"/>
              <w:right w:val="single" w:sz="4" w:space="0" w:color="000000"/>
            </w:tcBorders>
            <w:shd w:val="clear" w:color="auto" w:fill="auto"/>
            <w:noWrap/>
            <w:vAlign w:val="bottom"/>
            <w:hideMark/>
          </w:tcPr>
          <w:p w14:paraId="4B4EAAD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700" w:type="dxa"/>
            <w:tcBorders>
              <w:top w:val="nil"/>
              <w:left w:val="nil"/>
              <w:bottom w:val="single" w:sz="4" w:space="0" w:color="000000"/>
              <w:right w:val="single" w:sz="4" w:space="0" w:color="000000"/>
            </w:tcBorders>
            <w:shd w:val="clear" w:color="auto" w:fill="auto"/>
            <w:noWrap/>
            <w:vAlign w:val="bottom"/>
            <w:hideMark/>
          </w:tcPr>
          <w:p w14:paraId="23FD9CF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w:t>
            </w:r>
          </w:p>
        </w:tc>
        <w:tc>
          <w:tcPr>
            <w:tcW w:w="660" w:type="dxa"/>
            <w:tcBorders>
              <w:top w:val="nil"/>
              <w:left w:val="nil"/>
              <w:bottom w:val="single" w:sz="4" w:space="0" w:color="000000"/>
              <w:right w:val="single" w:sz="4" w:space="0" w:color="000000"/>
            </w:tcBorders>
            <w:shd w:val="clear" w:color="auto" w:fill="auto"/>
            <w:noWrap/>
            <w:vAlign w:val="bottom"/>
            <w:hideMark/>
          </w:tcPr>
          <w:p w14:paraId="537C019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7,4</w:t>
            </w:r>
          </w:p>
        </w:tc>
        <w:tc>
          <w:tcPr>
            <w:tcW w:w="620" w:type="dxa"/>
            <w:tcBorders>
              <w:top w:val="nil"/>
              <w:left w:val="nil"/>
              <w:bottom w:val="single" w:sz="4" w:space="0" w:color="000000"/>
              <w:right w:val="single" w:sz="4" w:space="0" w:color="000000"/>
            </w:tcBorders>
            <w:shd w:val="clear" w:color="auto" w:fill="auto"/>
            <w:noWrap/>
            <w:vAlign w:val="bottom"/>
            <w:hideMark/>
          </w:tcPr>
          <w:p w14:paraId="5756688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1,8</w:t>
            </w:r>
          </w:p>
        </w:tc>
        <w:tc>
          <w:tcPr>
            <w:tcW w:w="660" w:type="dxa"/>
            <w:tcBorders>
              <w:top w:val="nil"/>
              <w:left w:val="nil"/>
              <w:bottom w:val="single" w:sz="4" w:space="0" w:color="000000"/>
              <w:right w:val="single" w:sz="4" w:space="0" w:color="000000"/>
            </w:tcBorders>
            <w:shd w:val="clear" w:color="auto" w:fill="auto"/>
            <w:noWrap/>
            <w:vAlign w:val="bottom"/>
            <w:hideMark/>
          </w:tcPr>
          <w:p w14:paraId="28F4FF5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2,4</w:t>
            </w:r>
          </w:p>
        </w:tc>
        <w:tc>
          <w:tcPr>
            <w:tcW w:w="680" w:type="dxa"/>
            <w:tcBorders>
              <w:top w:val="nil"/>
              <w:left w:val="nil"/>
              <w:bottom w:val="single" w:sz="4" w:space="0" w:color="000000"/>
              <w:right w:val="single" w:sz="4" w:space="0" w:color="000000"/>
            </w:tcBorders>
            <w:shd w:val="clear" w:color="auto" w:fill="auto"/>
            <w:noWrap/>
            <w:vAlign w:val="bottom"/>
            <w:hideMark/>
          </w:tcPr>
          <w:p w14:paraId="59F4E04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1,5</w:t>
            </w:r>
          </w:p>
        </w:tc>
        <w:tc>
          <w:tcPr>
            <w:tcW w:w="680" w:type="dxa"/>
            <w:tcBorders>
              <w:top w:val="nil"/>
              <w:left w:val="nil"/>
              <w:bottom w:val="single" w:sz="4" w:space="0" w:color="000000"/>
              <w:right w:val="single" w:sz="4" w:space="0" w:color="000000"/>
            </w:tcBorders>
            <w:shd w:val="clear" w:color="auto" w:fill="auto"/>
            <w:noWrap/>
            <w:vAlign w:val="bottom"/>
            <w:hideMark/>
          </w:tcPr>
          <w:p w14:paraId="224D1A0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1,8</w:t>
            </w:r>
          </w:p>
        </w:tc>
        <w:tc>
          <w:tcPr>
            <w:tcW w:w="1135" w:type="dxa"/>
            <w:tcBorders>
              <w:top w:val="nil"/>
              <w:left w:val="nil"/>
              <w:bottom w:val="single" w:sz="4" w:space="0" w:color="000000"/>
              <w:right w:val="single" w:sz="4" w:space="0" w:color="000000"/>
            </w:tcBorders>
            <w:shd w:val="clear" w:color="auto" w:fill="auto"/>
            <w:noWrap/>
            <w:vAlign w:val="bottom"/>
            <w:hideMark/>
          </w:tcPr>
          <w:p w14:paraId="02EC394A"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43,77</w:t>
            </w:r>
          </w:p>
        </w:tc>
      </w:tr>
      <w:tr w:rsidR="00D22200" w:rsidRPr="00D22200" w14:paraId="0FA5E33C"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359EA332"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Netherlands</w:t>
            </w:r>
          </w:p>
        </w:tc>
        <w:tc>
          <w:tcPr>
            <w:tcW w:w="640" w:type="dxa"/>
            <w:tcBorders>
              <w:top w:val="nil"/>
              <w:left w:val="nil"/>
              <w:bottom w:val="single" w:sz="4" w:space="0" w:color="000000"/>
              <w:right w:val="single" w:sz="4" w:space="0" w:color="000000"/>
            </w:tcBorders>
            <w:shd w:val="clear" w:color="auto" w:fill="auto"/>
            <w:noWrap/>
            <w:vAlign w:val="bottom"/>
            <w:hideMark/>
          </w:tcPr>
          <w:p w14:paraId="21E7985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5,0</w:t>
            </w:r>
          </w:p>
        </w:tc>
        <w:tc>
          <w:tcPr>
            <w:tcW w:w="640" w:type="dxa"/>
            <w:tcBorders>
              <w:top w:val="nil"/>
              <w:left w:val="nil"/>
              <w:bottom w:val="single" w:sz="4" w:space="0" w:color="000000"/>
              <w:right w:val="single" w:sz="4" w:space="0" w:color="000000"/>
            </w:tcBorders>
            <w:shd w:val="clear" w:color="auto" w:fill="auto"/>
            <w:noWrap/>
            <w:vAlign w:val="bottom"/>
            <w:hideMark/>
          </w:tcPr>
          <w:p w14:paraId="4CCD3AD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4,3</w:t>
            </w:r>
          </w:p>
        </w:tc>
        <w:tc>
          <w:tcPr>
            <w:tcW w:w="640" w:type="dxa"/>
            <w:tcBorders>
              <w:top w:val="nil"/>
              <w:left w:val="nil"/>
              <w:bottom w:val="single" w:sz="4" w:space="0" w:color="000000"/>
              <w:right w:val="single" w:sz="4" w:space="0" w:color="000000"/>
            </w:tcBorders>
            <w:shd w:val="clear" w:color="auto" w:fill="auto"/>
            <w:noWrap/>
            <w:vAlign w:val="bottom"/>
            <w:hideMark/>
          </w:tcPr>
          <w:p w14:paraId="785845F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6,1</w:t>
            </w:r>
          </w:p>
        </w:tc>
        <w:tc>
          <w:tcPr>
            <w:tcW w:w="700" w:type="dxa"/>
            <w:tcBorders>
              <w:top w:val="nil"/>
              <w:left w:val="nil"/>
              <w:bottom w:val="single" w:sz="4" w:space="0" w:color="000000"/>
              <w:right w:val="single" w:sz="4" w:space="0" w:color="000000"/>
            </w:tcBorders>
            <w:shd w:val="clear" w:color="auto" w:fill="auto"/>
            <w:noWrap/>
            <w:vAlign w:val="bottom"/>
            <w:hideMark/>
          </w:tcPr>
          <w:p w14:paraId="6D81F7F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5,2</w:t>
            </w:r>
          </w:p>
        </w:tc>
        <w:tc>
          <w:tcPr>
            <w:tcW w:w="700" w:type="dxa"/>
            <w:tcBorders>
              <w:top w:val="nil"/>
              <w:left w:val="nil"/>
              <w:bottom w:val="single" w:sz="4" w:space="0" w:color="000000"/>
              <w:right w:val="single" w:sz="4" w:space="0" w:color="000000"/>
            </w:tcBorders>
            <w:shd w:val="clear" w:color="auto" w:fill="auto"/>
            <w:noWrap/>
            <w:vAlign w:val="bottom"/>
            <w:hideMark/>
          </w:tcPr>
          <w:p w14:paraId="2E129EB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660" w:type="dxa"/>
            <w:tcBorders>
              <w:top w:val="nil"/>
              <w:left w:val="nil"/>
              <w:bottom w:val="single" w:sz="4" w:space="0" w:color="000000"/>
              <w:right w:val="single" w:sz="4" w:space="0" w:color="000000"/>
            </w:tcBorders>
            <w:shd w:val="clear" w:color="auto" w:fill="auto"/>
            <w:noWrap/>
            <w:vAlign w:val="bottom"/>
            <w:hideMark/>
          </w:tcPr>
          <w:p w14:paraId="1B5FA02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620" w:type="dxa"/>
            <w:tcBorders>
              <w:top w:val="nil"/>
              <w:left w:val="nil"/>
              <w:bottom w:val="single" w:sz="4" w:space="0" w:color="000000"/>
              <w:right w:val="single" w:sz="4" w:space="0" w:color="000000"/>
            </w:tcBorders>
            <w:shd w:val="clear" w:color="auto" w:fill="auto"/>
            <w:noWrap/>
            <w:vAlign w:val="bottom"/>
            <w:hideMark/>
          </w:tcPr>
          <w:p w14:paraId="3E90EC6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w:t>
            </w:r>
          </w:p>
        </w:tc>
        <w:tc>
          <w:tcPr>
            <w:tcW w:w="660" w:type="dxa"/>
            <w:tcBorders>
              <w:top w:val="nil"/>
              <w:left w:val="nil"/>
              <w:bottom w:val="single" w:sz="4" w:space="0" w:color="000000"/>
              <w:right w:val="single" w:sz="4" w:space="0" w:color="000000"/>
            </w:tcBorders>
            <w:shd w:val="clear" w:color="auto" w:fill="auto"/>
            <w:noWrap/>
            <w:vAlign w:val="bottom"/>
            <w:hideMark/>
          </w:tcPr>
          <w:p w14:paraId="58CA60F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2,7</w:t>
            </w:r>
          </w:p>
        </w:tc>
        <w:tc>
          <w:tcPr>
            <w:tcW w:w="680" w:type="dxa"/>
            <w:tcBorders>
              <w:top w:val="nil"/>
              <w:left w:val="nil"/>
              <w:bottom w:val="single" w:sz="4" w:space="0" w:color="000000"/>
              <w:right w:val="single" w:sz="4" w:space="0" w:color="000000"/>
            </w:tcBorders>
            <w:shd w:val="clear" w:color="auto" w:fill="auto"/>
            <w:noWrap/>
            <w:vAlign w:val="bottom"/>
            <w:hideMark/>
          </w:tcPr>
          <w:p w14:paraId="66F6E85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3,1</w:t>
            </w:r>
          </w:p>
        </w:tc>
        <w:tc>
          <w:tcPr>
            <w:tcW w:w="680" w:type="dxa"/>
            <w:tcBorders>
              <w:top w:val="nil"/>
              <w:left w:val="nil"/>
              <w:bottom w:val="single" w:sz="4" w:space="0" w:color="000000"/>
              <w:right w:val="single" w:sz="4" w:space="0" w:color="000000"/>
            </w:tcBorders>
            <w:shd w:val="clear" w:color="auto" w:fill="auto"/>
            <w:noWrap/>
            <w:vAlign w:val="bottom"/>
            <w:hideMark/>
          </w:tcPr>
          <w:p w14:paraId="293CB1D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1135" w:type="dxa"/>
            <w:tcBorders>
              <w:top w:val="nil"/>
              <w:left w:val="nil"/>
              <w:bottom w:val="single" w:sz="4" w:space="0" w:color="000000"/>
              <w:right w:val="single" w:sz="4" w:space="0" w:color="000000"/>
            </w:tcBorders>
            <w:shd w:val="clear" w:color="auto" w:fill="auto"/>
            <w:noWrap/>
            <w:vAlign w:val="bottom"/>
            <w:hideMark/>
          </w:tcPr>
          <w:p w14:paraId="18805E14"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46,21</w:t>
            </w:r>
          </w:p>
        </w:tc>
      </w:tr>
      <w:tr w:rsidR="00D22200" w:rsidRPr="00D22200" w14:paraId="669F12D4"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6A0B3096"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Austria</w:t>
            </w:r>
          </w:p>
        </w:tc>
        <w:tc>
          <w:tcPr>
            <w:tcW w:w="640" w:type="dxa"/>
            <w:tcBorders>
              <w:top w:val="nil"/>
              <w:left w:val="nil"/>
              <w:bottom w:val="single" w:sz="4" w:space="0" w:color="000000"/>
              <w:right w:val="single" w:sz="4" w:space="0" w:color="000000"/>
            </w:tcBorders>
            <w:shd w:val="clear" w:color="auto" w:fill="auto"/>
            <w:noWrap/>
            <w:vAlign w:val="bottom"/>
            <w:hideMark/>
          </w:tcPr>
          <w:p w14:paraId="4A53E8B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w:t>
            </w:r>
          </w:p>
        </w:tc>
        <w:tc>
          <w:tcPr>
            <w:tcW w:w="640" w:type="dxa"/>
            <w:tcBorders>
              <w:top w:val="nil"/>
              <w:left w:val="nil"/>
              <w:bottom w:val="single" w:sz="4" w:space="0" w:color="000000"/>
              <w:right w:val="single" w:sz="4" w:space="0" w:color="000000"/>
            </w:tcBorders>
            <w:shd w:val="clear" w:color="auto" w:fill="auto"/>
            <w:noWrap/>
            <w:vAlign w:val="bottom"/>
            <w:hideMark/>
          </w:tcPr>
          <w:p w14:paraId="1014C3B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w:t>
            </w:r>
          </w:p>
        </w:tc>
        <w:tc>
          <w:tcPr>
            <w:tcW w:w="640" w:type="dxa"/>
            <w:tcBorders>
              <w:top w:val="nil"/>
              <w:left w:val="nil"/>
              <w:bottom w:val="single" w:sz="4" w:space="0" w:color="000000"/>
              <w:right w:val="single" w:sz="4" w:space="0" w:color="000000"/>
            </w:tcBorders>
            <w:shd w:val="clear" w:color="auto" w:fill="auto"/>
            <w:noWrap/>
            <w:vAlign w:val="bottom"/>
            <w:hideMark/>
          </w:tcPr>
          <w:p w14:paraId="07A47B7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700" w:type="dxa"/>
            <w:tcBorders>
              <w:top w:val="nil"/>
              <w:left w:val="nil"/>
              <w:bottom w:val="single" w:sz="4" w:space="0" w:color="000000"/>
              <w:right w:val="single" w:sz="4" w:space="0" w:color="000000"/>
            </w:tcBorders>
            <w:shd w:val="clear" w:color="auto" w:fill="auto"/>
            <w:noWrap/>
            <w:vAlign w:val="bottom"/>
            <w:hideMark/>
          </w:tcPr>
          <w:p w14:paraId="4C21BBC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3,0</w:t>
            </w:r>
          </w:p>
        </w:tc>
        <w:tc>
          <w:tcPr>
            <w:tcW w:w="700" w:type="dxa"/>
            <w:tcBorders>
              <w:top w:val="nil"/>
              <w:left w:val="nil"/>
              <w:bottom w:val="single" w:sz="4" w:space="0" w:color="000000"/>
              <w:right w:val="single" w:sz="4" w:space="0" w:color="000000"/>
            </w:tcBorders>
            <w:shd w:val="clear" w:color="auto" w:fill="auto"/>
            <w:noWrap/>
            <w:vAlign w:val="bottom"/>
            <w:hideMark/>
          </w:tcPr>
          <w:p w14:paraId="452EA86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1,8</w:t>
            </w:r>
          </w:p>
        </w:tc>
        <w:tc>
          <w:tcPr>
            <w:tcW w:w="660" w:type="dxa"/>
            <w:tcBorders>
              <w:top w:val="nil"/>
              <w:left w:val="nil"/>
              <w:bottom w:val="single" w:sz="4" w:space="0" w:color="000000"/>
              <w:right w:val="single" w:sz="4" w:space="0" w:color="000000"/>
            </w:tcBorders>
            <w:shd w:val="clear" w:color="auto" w:fill="auto"/>
            <w:noWrap/>
            <w:vAlign w:val="bottom"/>
            <w:hideMark/>
          </w:tcPr>
          <w:p w14:paraId="2A00283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w:t>
            </w:r>
          </w:p>
        </w:tc>
        <w:tc>
          <w:tcPr>
            <w:tcW w:w="620" w:type="dxa"/>
            <w:tcBorders>
              <w:top w:val="nil"/>
              <w:left w:val="nil"/>
              <w:bottom w:val="single" w:sz="4" w:space="0" w:color="000000"/>
              <w:right w:val="single" w:sz="4" w:space="0" w:color="000000"/>
            </w:tcBorders>
            <w:shd w:val="clear" w:color="auto" w:fill="auto"/>
            <w:noWrap/>
            <w:vAlign w:val="bottom"/>
            <w:hideMark/>
          </w:tcPr>
          <w:p w14:paraId="63140F9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660" w:type="dxa"/>
            <w:tcBorders>
              <w:top w:val="nil"/>
              <w:left w:val="nil"/>
              <w:bottom w:val="single" w:sz="4" w:space="0" w:color="000000"/>
              <w:right w:val="single" w:sz="4" w:space="0" w:color="000000"/>
            </w:tcBorders>
            <w:shd w:val="clear" w:color="auto" w:fill="auto"/>
            <w:noWrap/>
            <w:vAlign w:val="bottom"/>
            <w:hideMark/>
          </w:tcPr>
          <w:p w14:paraId="13A7CC0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2,2</w:t>
            </w:r>
          </w:p>
        </w:tc>
        <w:tc>
          <w:tcPr>
            <w:tcW w:w="680" w:type="dxa"/>
            <w:tcBorders>
              <w:top w:val="nil"/>
              <w:left w:val="nil"/>
              <w:bottom w:val="single" w:sz="4" w:space="0" w:color="000000"/>
              <w:right w:val="single" w:sz="4" w:space="0" w:color="000000"/>
            </w:tcBorders>
            <w:shd w:val="clear" w:color="auto" w:fill="auto"/>
            <w:noWrap/>
            <w:vAlign w:val="bottom"/>
            <w:hideMark/>
          </w:tcPr>
          <w:p w14:paraId="274A37A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80" w:type="dxa"/>
            <w:tcBorders>
              <w:top w:val="nil"/>
              <w:left w:val="nil"/>
              <w:bottom w:val="single" w:sz="4" w:space="0" w:color="000000"/>
              <w:right w:val="single" w:sz="4" w:space="0" w:color="000000"/>
            </w:tcBorders>
            <w:shd w:val="clear" w:color="auto" w:fill="auto"/>
            <w:noWrap/>
            <w:vAlign w:val="bottom"/>
            <w:hideMark/>
          </w:tcPr>
          <w:p w14:paraId="6544D93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3,0</w:t>
            </w:r>
          </w:p>
        </w:tc>
        <w:tc>
          <w:tcPr>
            <w:tcW w:w="1135" w:type="dxa"/>
            <w:tcBorders>
              <w:top w:val="nil"/>
              <w:left w:val="nil"/>
              <w:bottom w:val="single" w:sz="4" w:space="0" w:color="000000"/>
              <w:right w:val="single" w:sz="4" w:space="0" w:color="000000"/>
            </w:tcBorders>
            <w:shd w:val="clear" w:color="auto" w:fill="auto"/>
            <w:noWrap/>
            <w:vAlign w:val="bottom"/>
            <w:hideMark/>
          </w:tcPr>
          <w:p w14:paraId="1D4E79B0"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25,30</w:t>
            </w:r>
          </w:p>
        </w:tc>
      </w:tr>
      <w:tr w:rsidR="00D22200" w:rsidRPr="00D22200" w14:paraId="41AFB373"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7FA22A33"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Poland</w:t>
            </w:r>
          </w:p>
        </w:tc>
        <w:tc>
          <w:tcPr>
            <w:tcW w:w="640" w:type="dxa"/>
            <w:tcBorders>
              <w:top w:val="nil"/>
              <w:left w:val="nil"/>
              <w:bottom w:val="single" w:sz="4" w:space="0" w:color="000000"/>
              <w:right w:val="single" w:sz="4" w:space="0" w:color="000000"/>
            </w:tcBorders>
            <w:shd w:val="clear" w:color="auto" w:fill="auto"/>
            <w:noWrap/>
            <w:vAlign w:val="bottom"/>
            <w:hideMark/>
          </w:tcPr>
          <w:p w14:paraId="0B39E8E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13,6</w:t>
            </w:r>
          </w:p>
        </w:tc>
        <w:tc>
          <w:tcPr>
            <w:tcW w:w="640" w:type="dxa"/>
            <w:tcBorders>
              <w:top w:val="nil"/>
              <w:left w:val="nil"/>
              <w:bottom w:val="single" w:sz="4" w:space="0" w:color="000000"/>
              <w:right w:val="single" w:sz="4" w:space="0" w:color="000000"/>
            </w:tcBorders>
            <w:shd w:val="clear" w:color="auto" w:fill="auto"/>
            <w:noWrap/>
            <w:vAlign w:val="bottom"/>
            <w:hideMark/>
          </w:tcPr>
          <w:p w14:paraId="47A8C1D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6,2</w:t>
            </w:r>
          </w:p>
        </w:tc>
        <w:tc>
          <w:tcPr>
            <w:tcW w:w="640" w:type="dxa"/>
            <w:tcBorders>
              <w:top w:val="nil"/>
              <w:left w:val="nil"/>
              <w:bottom w:val="single" w:sz="4" w:space="0" w:color="000000"/>
              <w:right w:val="single" w:sz="4" w:space="0" w:color="000000"/>
            </w:tcBorders>
            <w:shd w:val="clear" w:color="auto" w:fill="auto"/>
            <w:noWrap/>
            <w:vAlign w:val="bottom"/>
            <w:hideMark/>
          </w:tcPr>
          <w:p w14:paraId="3021C38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20,7</w:t>
            </w:r>
          </w:p>
        </w:tc>
        <w:tc>
          <w:tcPr>
            <w:tcW w:w="700" w:type="dxa"/>
            <w:tcBorders>
              <w:top w:val="nil"/>
              <w:left w:val="nil"/>
              <w:bottom w:val="single" w:sz="4" w:space="0" w:color="000000"/>
              <w:right w:val="single" w:sz="4" w:space="0" w:color="000000"/>
            </w:tcBorders>
            <w:shd w:val="clear" w:color="auto" w:fill="auto"/>
            <w:noWrap/>
            <w:vAlign w:val="bottom"/>
            <w:hideMark/>
          </w:tcPr>
          <w:p w14:paraId="1A56EB2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2,1</w:t>
            </w:r>
          </w:p>
        </w:tc>
        <w:tc>
          <w:tcPr>
            <w:tcW w:w="700" w:type="dxa"/>
            <w:tcBorders>
              <w:top w:val="nil"/>
              <w:left w:val="nil"/>
              <w:bottom w:val="single" w:sz="4" w:space="0" w:color="000000"/>
              <w:right w:val="single" w:sz="4" w:space="0" w:color="000000"/>
            </w:tcBorders>
            <w:shd w:val="clear" w:color="auto" w:fill="auto"/>
            <w:noWrap/>
            <w:vAlign w:val="bottom"/>
            <w:hideMark/>
          </w:tcPr>
          <w:p w14:paraId="1387501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60" w:type="dxa"/>
            <w:tcBorders>
              <w:top w:val="nil"/>
              <w:left w:val="nil"/>
              <w:bottom w:val="single" w:sz="4" w:space="0" w:color="000000"/>
              <w:right w:val="single" w:sz="4" w:space="0" w:color="000000"/>
            </w:tcBorders>
            <w:shd w:val="clear" w:color="auto" w:fill="auto"/>
            <w:noWrap/>
            <w:vAlign w:val="bottom"/>
            <w:hideMark/>
          </w:tcPr>
          <w:p w14:paraId="4917786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620" w:type="dxa"/>
            <w:tcBorders>
              <w:top w:val="nil"/>
              <w:left w:val="nil"/>
              <w:bottom w:val="single" w:sz="4" w:space="0" w:color="000000"/>
              <w:right w:val="single" w:sz="4" w:space="0" w:color="000000"/>
            </w:tcBorders>
            <w:shd w:val="clear" w:color="auto" w:fill="auto"/>
            <w:noWrap/>
            <w:vAlign w:val="bottom"/>
            <w:hideMark/>
          </w:tcPr>
          <w:p w14:paraId="247344F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3,8</w:t>
            </w:r>
          </w:p>
        </w:tc>
        <w:tc>
          <w:tcPr>
            <w:tcW w:w="660" w:type="dxa"/>
            <w:tcBorders>
              <w:top w:val="nil"/>
              <w:left w:val="nil"/>
              <w:bottom w:val="single" w:sz="4" w:space="0" w:color="000000"/>
              <w:right w:val="single" w:sz="4" w:space="0" w:color="000000"/>
            </w:tcBorders>
            <w:shd w:val="clear" w:color="auto" w:fill="auto"/>
            <w:noWrap/>
            <w:vAlign w:val="bottom"/>
            <w:hideMark/>
          </w:tcPr>
          <w:p w14:paraId="752A668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5,8</w:t>
            </w:r>
          </w:p>
        </w:tc>
        <w:tc>
          <w:tcPr>
            <w:tcW w:w="680" w:type="dxa"/>
            <w:tcBorders>
              <w:top w:val="nil"/>
              <w:left w:val="nil"/>
              <w:bottom w:val="single" w:sz="4" w:space="0" w:color="000000"/>
              <w:right w:val="single" w:sz="4" w:space="0" w:color="000000"/>
            </w:tcBorders>
            <w:shd w:val="clear" w:color="auto" w:fill="auto"/>
            <w:noWrap/>
            <w:vAlign w:val="bottom"/>
            <w:hideMark/>
          </w:tcPr>
          <w:p w14:paraId="76ABB02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11,2</w:t>
            </w:r>
          </w:p>
        </w:tc>
        <w:tc>
          <w:tcPr>
            <w:tcW w:w="680" w:type="dxa"/>
            <w:tcBorders>
              <w:top w:val="nil"/>
              <w:left w:val="nil"/>
              <w:bottom w:val="single" w:sz="4" w:space="0" w:color="000000"/>
              <w:right w:val="single" w:sz="4" w:space="0" w:color="000000"/>
            </w:tcBorders>
            <w:shd w:val="clear" w:color="auto" w:fill="auto"/>
            <w:noWrap/>
            <w:vAlign w:val="bottom"/>
            <w:hideMark/>
          </w:tcPr>
          <w:p w14:paraId="33922FC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10,8</w:t>
            </w:r>
          </w:p>
        </w:tc>
        <w:tc>
          <w:tcPr>
            <w:tcW w:w="1135" w:type="dxa"/>
            <w:tcBorders>
              <w:top w:val="nil"/>
              <w:left w:val="nil"/>
              <w:bottom w:val="single" w:sz="4" w:space="0" w:color="000000"/>
              <w:right w:val="single" w:sz="4" w:space="0" w:color="000000"/>
            </w:tcBorders>
            <w:shd w:val="clear" w:color="auto" w:fill="auto"/>
            <w:noWrap/>
            <w:vAlign w:val="bottom"/>
            <w:hideMark/>
          </w:tcPr>
          <w:p w14:paraId="0A3F83CB"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115,29</w:t>
            </w:r>
          </w:p>
        </w:tc>
      </w:tr>
      <w:tr w:rsidR="00D22200" w:rsidRPr="00D22200" w14:paraId="3F8E60F0"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0C841F2B"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Portugal</w:t>
            </w:r>
          </w:p>
        </w:tc>
        <w:tc>
          <w:tcPr>
            <w:tcW w:w="640" w:type="dxa"/>
            <w:tcBorders>
              <w:top w:val="nil"/>
              <w:left w:val="nil"/>
              <w:bottom w:val="single" w:sz="4" w:space="0" w:color="000000"/>
              <w:right w:val="single" w:sz="4" w:space="0" w:color="000000"/>
            </w:tcBorders>
            <w:shd w:val="clear" w:color="auto" w:fill="auto"/>
            <w:noWrap/>
            <w:vAlign w:val="bottom"/>
            <w:hideMark/>
          </w:tcPr>
          <w:p w14:paraId="43AC66A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3,7</w:t>
            </w:r>
          </w:p>
        </w:tc>
        <w:tc>
          <w:tcPr>
            <w:tcW w:w="640" w:type="dxa"/>
            <w:tcBorders>
              <w:top w:val="nil"/>
              <w:left w:val="nil"/>
              <w:bottom w:val="single" w:sz="4" w:space="0" w:color="000000"/>
              <w:right w:val="single" w:sz="4" w:space="0" w:color="000000"/>
            </w:tcBorders>
            <w:shd w:val="clear" w:color="auto" w:fill="auto"/>
            <w:noWrap/>
            <w:vAlign w:val="bottom"/>
            <w:hideMark/>
          </w:tcPr>
          <w:p w14:paraId="47EBBB3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2,7</w:t>
            </w:r>
          </w:p>
        </w:tc>
        <w:tc>
          <w:tcPr>
            <w:tcW w:w="640" w:type="dxa"/>
            <w:tcBorders>
              <w:top w:val="nil"/>
              <w:left w:val="nil"/>
              <w:bottom w:val="single" w:sz="4" w:space="0" w:color="000000"/>
              <w:right w:val="single" w:sz="4" w:space="0" w:color="000000"/>
            </w:tcBorders>
            <w:shd w:val="clear" w:color="auto" w:fill="auto"/>
            <w:noWrap/>
            <w:vAlign w:val="bottom"/>
            <w:hideMark/>
          </w:tcPr>
          <w:p w14:paraId="3979E19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5,4</w:t>
            </w:r>
          </w:p>
        </w:tc>
        <w:tc>
          <w:tcPr>
            <w:tcW w:w="700" w:type="dxa"/>
            <w:tcBorders>
              <w:top w:val="nil"/>
              <w:left w:val="nil"/>
              <w:bottom w:val="single" w:sz="4" w:space="0" w:color="000000"/>
              <w:right w:val="single" w:sz="4" w:space="0" w:color="000000"/>
            </w:tcBorders>
            <w:shd w:val="clear" w:color="auto" w:fill="auto"/>
            <w:noWrap/>
            <w:vAlign w:val="bottom"/>
            <w:hideMark/>
          </w:tcPr>
          <w:p w14:paraId="13CFD83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5,3</w:t>
            </w:r>
          </w:p>
        </w:tc>
        <w:tc>
          <w:tcPr>
            <w:tcW w:w="700" w:type="dxa"/>
            <w:tcBorders>
              <w:top w:val="nil"/>
              <w:left w:val="nil"/>
              <w:bottom w:val="single" w:sz="4" w:space="0" w:color="000000"/>
              <w:right w:val="single" w:sz="4" w:space="0" w:color="000000"/>
            </w:tcBorders>
            <w:shd w:val="clear" w:color="auto" w:fill="auto"/>
            <w:noWrap/>
            <w:vAlign w:val="bottom"/>
            <w:hideMark/>
          </w:tcPr>
          <w:p w14:paraId="27A75E1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2,4</w:t>
            </w:r>
          </w:p>
        </w:tc>
        <w:tc>
          <w:tcPr>
            <w:tcW w:w="660" w:type="dxa"/>
            <w:tcBorders>
              <w:top w:val="nil"/>
              <w:left w:val="nil"/>
              <w:bottom w:val="single" w:sz="4" w:space="0" w:color="000000"/>
              <w:right w:val="single" w:sz="4" w:space="0" w:color="000000"/>
            </w:tcBorders>
            <w:shd w:val="clear" w:color="auto" w:fill="auto"/>
            <w:noWrap/>
            <w:vAlign w:val="bottom"/>
            <w:hideMark/>
          </w:tcPr>
          <w:p w14:paraId="5AD1B8E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3,3</w:t>
            </w:r>
          </w:p>
        </w:tc>
        <w:tc>
          <w:tcPr>
            <w:tcW w:w="620" w:type="dxa"/>
            <w:tcBorders>
              <w:top w:val="nil"/>
              <w:left w:val="nil"/>
              <w:bottom w:val="single" w:sz="4" w:space="0" w:color="000000"/>
              <w:right w:val="single" w:sz="4" w:space="0" w:color="000000"/>
            </w:tcBorders>
            <w:shd w:val="clear" w:color="auto" w:fill="auto"/>
            <w:noWrap/>
            <w:vAlign w:val="bottom"/>
            <w:hideMark/>
          </w:tcPr>
          <w:p w14:paraId="3AB03FC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2,0</w:t>
            </w:r>
          </w:p>
        </w:tc>
        <w:tc>
          <w:tcPr>
            <w:tcW w:w="660" w:type="dxa"/>
            <w:tcBorders>
              <w:top w:val="nil"/>
              <w:left w:val="nil"/>
              <w:bottom w:val="single" w:sz="4" w:space="0" w:color="000000"/>
              <w:right w:val="single" w:sz="4" w:space="0" w:color="000000"/>
            </w:tcBorders>
            <w:shd w:val="clear" w:color="auto" w:fill="auto"/>
            <w:noWrap/>
            <w:vAlign w:val="bottom"/>
            <w:hideMark/>
          </w:tcPr>
          <w:p w14:paraId="168A98E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1,7</w:t>
            </w:r>
          </w:p>
        </w:tc>
        <w:tc>
          <w:tcPr>
            <w:tcW w:w="680" w:type="dxa"/>
            <w:tcBorders>
              <w:top w:val="nil"/>
              <w:left w:val="nil"/>
              <w:bottom w:val="single" w:sz="4" w:space="0" w:color="000000"/>
              <w:right w:val="single" w:sz="4" w:space="0" w:color="000000"/>
            </w:tcBorders>
            <w:shd w:val="clear" w:color="auto" w:fill="auto"/>
            <w:noWrap/>
            <w:vAlign w:val="bottom"/>
            <w:hideMark/>
          </w:tcPr>
          <w:p w14:paraId="5E1945F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4,0</w:t>
            </w:r>
          </w:p>
        </w:tc>
        <w:tc>
          <w:tcPr>
            <w:tcW w:w="680" w:type="dxa"/>
            <w:tcBorders>
              <w:top w:val="nil"/>
              <w:left w:val="nil"/>
              <w:bottom w:val="single" w:sz="4" w:space="0" w:color="000000"/>
              <w:right w:val="single" w:sz="4" w:space="0" w:color="000000"/>
            </w:tcBorders>
            <w:shd w:val="clear" w:color="auto" w:fill="auto"/>
            <w:noWrap/>
            <w:vAlign w:val="bottom"/>
            <w:hideMark/>
          </w:tcPr>
          <w:p w14:paraId="0A9ED3D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4,3</w:t>
            </w:r>
          </w:p>
        </w:tc>
        <w:tc>
          <w:tcPr>
            <w:tcW w:w="1135" w:type="dxa"/>
            <w:tcBorders>
              <w:top w:val="nil"/>
              <w:left w:val="nil"/>
              <w:bottom w:val="single" w:sz="4" w:space="0" w:color="000000"/>
              <w:right w:val="single" w:sz="4" w:space="0" w:color="000000"/>
            </w:tcBorders>
            <w:shd w:val="clear" w:color="auto" w:fill="auto"/>
            <w:noWrap/>
            <w:vAlign w:val="bottom"/>
            <w:hideMark/>
          </w:tcPr>
          <w:p w14:paraId="0A321CFA"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40,69</w:t>
            </w:r>
          </w:p>
        </w:tc>
      </w:tr>
      <w:tr w:rsidR="00D22200" w:rsidRPr="00D22200" w14:paraId="67B83660"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5429A0EB"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Romania</w:t>
            </w:r>
          </w:p>
        </w:tc>
        <w:tc>
          <w:tcPr>
            <w:tcW w:w="640" w:type="dxa"/>
            <w:tcBorders>
              <w:top w:val="nil"/>
              <w:left w:val="nil"/>
              <w:bottom w:val="single" w:sz="4" w:space="0" w:color="000000"/>
              <w:right w:val="single" w:sz="4" w:space="0" w:color="000000"/>
            </w:tcBorders>
            <w:shd w:val="clear" w:color="auto" w:fill="auto"/>
            <w:noWrap/>
            <w:vAlign w:val="bottom"/>
            <w:hideMark/>
          </w:tcPr>
          <w:p w14:paraId="5C0F270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48,7</w:t>
            </w:r>
          </w:p>
        </w:tc>
        <w:tc>
          <w:tcPr>
            <w:tcW w:w="640" w:type="dxa"/>
            <w:tcBorders>
              <w:top w:val="nil"/>
              <w:left w:val="nil"/>
              <w:bottom w:val="single" w:sz="4" w:space="0" w:color="000000"/>
              <w:right w:val="single" w:sz="4" w:space="0" w:color="000000"/>
            </w:tcBorders>
            <w:shd w:val="clear" w:color="auto" w:fill="auto"/>
            <w:noWrap/>
            <w:vAlign w:val="bottom"/>
            <w:hideMark/>
          </w:tcPr>
          <w:p w14:paraId="4C58C7E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46,6</w:t>
            </w:r>
          </w:p>
        </w:tc>
        <w:tc>
          <w:tcPr>
            <w:tcW w:w="640" w:type="dxa"/>
            <w:tcBorders>
              <w:top w:val="nil"/>
              <w:left w:val="nil"/>
              <w:bottom w:val="single" w:sz="4" w:space="0" w:color="000000"/>
              <w:right w:val="single" w:sz="4" w:space="0" w:color="000000"/>
            </w:tcBorders>
            <w:shd w:val="clear" w:color="auto" w:fill="auto"/>
            <w:noWrap/>
            <w:vAlign w:val="bottom"/>
            <w:hideMark/>
          </w:tcPr>
          <w:p w14:paraId="04F8CD2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46,1</w:t>
            </w:r>
          </w:p>
        </w:tc>
        <w:tc>
          <w:tcPr>
            <w:tcW w:w="700" w:type="dxa"/>
            <w:tcBorders>
              <w:top w:val="nil"/>
              <w:left w:val="nil"/>
              <w:bottom w:val="single" w:sz="4" w:space="0" w:color="000000"/>
              <w:right w:val="single" w:sz="4" w:space="0" w:color="000000"/>
            </w:tcBorders>
            <w:shd w:val="clear" w:color="auto" w:fill="auto"/>
            <w:noWrap/>
            <w:vAlign w:val="bottom"/>
            <w:hideMark/>
          </w:tcPr>
          <w:p w14:paraId="57E2C61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26,6</w:t>
            </w:r>
          </w:p>
        </w:tc>
        <w:tc>
          <w:tcPr>
            <w:tcW w:w="700" w:type="dxa"/>
            <w:tcBorders>
              <w:top w:val="nil"/>
              <w:left w:val="nil"/>
              <w:bottom w:val="single" w:sz="4" w:space="0" w:color="000000"/>
              <w:right w:val="single" w:sz="4" w:space="0" w:color="000000"/>
            </w:tcBorders>
            <w:shd w:val="clear" w:color="auto" w:fill="auto"/>
            <w:noWrap/>
            <w:vAlign w:val="bottom"/>
            <w:hideMark/>
          </w:tcPr>
          <w:p w14:paraId="31D5CB9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16,2</w:t>
            </w:r>
          </w:p>
        </w:tc>
        <w:tc>
          <w:tcPr>
            <w:tcW w:w="660" w:type="dxa"/>
            <w:tcBorders>
              <w:top w:val="nil"/>
              <w:left w:val="nil"/>
              <w:bottom w:val="single" w:sz="4" w:space="0" w:color="000000"/>
              <w:right w:val="single" w:sz="4" w:space="0" w:color="000000"/>
            </w:tcBorders>
            <w:shd w:val="clear" w:color="auto" w:fill="auto"/>
            <w:noWrap/>
            <w:vAlign w:val="bottom"/>
            <w:hideMark/>
          </w:tcPr>
          <w:p w14:paraId="71F0A0B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16,1</w:t>
            </w:r>
          </w:p>
        </w:tc>
        <w:tc>
          <w:tcPr>
            <w:tcW w:w="620" w:type="dxa"/>
            <w:tcBorders>
              <w:top w:val="nil"/>
              <w:left w:val="nil"/>
              <w:bottom w:val="single" w:sz="4" w:space="0" w:color="000000"/>
              <w:right w:val="single" w:sz="4" w:space="0" w:color="000000"/>
            </w:tcBorders>
            <w:shd w:val="clear" w:color="auto" w:fill="auto"/>
            <w:noWrap/>
            <w:vAlign w:val="bottom"/>
            <w:hideMark/>
          </w:tcPr>
          <w:p w14:paraId="3752A18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14,6</w:t>
            </w:r>
          </w:p>
        </w:tc>
        <w:tc>
          <w:tcPr>
            <w:tcW w:w="660" w:type="dxa"/>
            <w:tcBorders>
              <w:top w:val="nil"/>
              <w:left w:val="nil"/>
              <w:bottom w:val="single" w:sz="4" w:space="0" w:color="000000"/>
              <w:right w:val="single" w:sz="4" w:space="0" w:color="000000"/>
            </w:tcBorders>
            <w:shd w:val="clear" w:color="auto" w:fill="auto"/>
            <w:noWrap/>
            <w:vAlign w:val="bottom"/>
            <w:hideMark/>
          </w:tcPr>
          <w:p w14:paraId="780B035E"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19,0</w:t>
            </w:r>
          </w:p>
        </w:tc>
        <w:tc>
          <w:tcPr>
            <w:tcW w:w="680" w:type="dxa"/>
            <w:tcBorders>
              <w:top w:val="nil"/>
              <w:left w:val="nil"/>
              <w:bottom w:val="single" w:sz="4" w:space="0" w:color="000000"/>
              <w:right w:val="single" w:sz="4" w:space="0" w:color="000000"/>
            </w:tcBorders>
            <w:shd w:val="clear" w:color="auto" w:fill="auto"/>
            <w:noWrap/>
            <w:vAlign w:val="bottom"/>
            <w:hideMark/>
          </w:tcPr>
          <w:p w14:paraId="598D12C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21,1</w:t>
            </w:r>
          </w:p>
        </w:tc>
        <w:tc>
          <w:tcPr>
            <w:tcW w:w="680" w:type="dxa"/>
            <w:tcBorders>
              <w:top w:val="nil"/>
              <w:left w:val="nil"/>
              <w:bottom w:val="single" w:sz="4" w:space="0" w:color="000000"/>
              <w:right w:val="single" w:sz="4" w:space="0" w:color="000000"/>
            </w:tcBorders>
            <w:shd w:val="clear" w:color="auto" w:fill="auto"/>
            <w:noWrap/>
            <w:vAlign w:val="bottom"/>
            <w:hideMark/>
          </w:tcPr>
          <w:p w14:paraId="1415354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21,4</w:t>
            </w:r>
          </w:p>
        </w:tc>
        <w:tc>
          <w:tcPr>
            <w:tcW w:w="1135" w:type="dxa"/>
            <w:tcBorders>
              <w:top w:val="nil"/>
              <w:left w:val="nil"/>
              <w:bottom w:val="single" w:sz="4" w:space="0" w:color="000000"/>
              <w:right w:val="single" w:sz="4" w:space="0" w:color="000000"/>
            </w:tcBorders>
            <w:shd w:val="clear" w:color="auto" w:fill="auto"/>
            <w:noWrap/>
            <w:vAlign w:val="bottom"/>
            <w:hideMark/>
          </w:tcPr>
          <w:p w14:paraId="0CA9C35B"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990,59</w:t>
            </w:r>
          </w:p>
        </w:tc>
      </w:tr>
      <w:tr w:rsidR="00D22200" w:rsidRPr="00D22200" w14:paraId="411D277C"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210AE32F"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Slovenia</w:t>
            </w:r>
          </w:p>
        </w:tc>
        <w:tc>
          <w:tcPr>
            <w:tcW w:w="640" w:type="dxa"/>
            <w:tcBorders>
              <w:top w:val="nil"/>
              <w:left w:val="nil"/>
              <w:bottom w:val="single" w:sz="4" w:space="0" w:color="000000"/>
              <w:right w:val="single" w:sz="4" w:space="0" w:color="000000"/>
            </w:tcBorders>
            <w:shd w:val="clear" w:color="auto" w:fill="auto"/>
            <w:noWrap/>
            <w:vAlign w:val="bottom"/>
            <w:hideMark/>
          </w:tcPr>
          <w:p w14:paraId="39BA418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8,6</w:t>
            </w:r>
          </w:p>
        </w:tc>
        <w:tc>
          <w:tcPr>
            <w:tcW w:w="640" w:type="dxa"/>
            <w:tcBorders>
              <w:top w:val="nil"/>
              <w:left w:val="nil"/>
              <w:bottom w:val="single" w:sz="4" w:space="0" w:color="000000"/>
              <w:right w:val="single" w:sz="4" w:space="0" w:color="000000"/>
            </w:tcBorders>
            <w:shd w:val="clear" w:color="auto" w:fill="auto"/>
            <w:noWrap/>
            <w:vAlign w:val="bottom"/>
            <w:hideMark/>
          </w:tcPr>
          <w:p w14:paraId="39711F3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12,1</w:t>
            </w:r>
          </w:p>
        </w:tc>
        <w:tc>
          <w:tcPr>
            <w:tcW w:w="640" w:type="dxa"/>
            <w:tcBorders>
              <w:top w:val="nil"/>
              <w:left w:val="nil"/>
              <w:bottom w:val="single" w:sz="4" w:space="0" w:color="000000"/>
              <w:right w:val="single" w:sz="4" w:space="0" w:color="000000"/>
            </w:tcBorders>
            <w:shd w:val="clear" w:color="auto" w:fill="auto"/>
            <w:noWrap/>
            <w:vAlign w:val="bottom"/>
            <w:hideMark/>
          </w:tcPr>
          <w:p w14:paraId="43C6E01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13,0</w:t>
            </w:r>
          </w:p>
        </w:tc>
        <w:tc>
          <w:tcPr>
            <w:tcW w:w="700" w:type="dxa"/>
            <w:tcBorders>
              <w:top w:val="nil"/>
              <w:left w:val="nil"/>
              <w:bottom w:val="single" w:sz="4" w:space="0" w:color="000000"/>
              <w:right w:val="single" w:sz="4" w:space="0" w:color="000000"/>
            </w:tcBorders>
            <w:shd w:val="clear" w:color="auto" w:fill="auto"/>
            <w:noWrap/>
            <w:vAlign w:val="bottom"/>
            <w:hideMark/>
          </w:tcPr>
          <w:p w14:paraId="3F8F8FC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4,2</w:t>
            </w:r>
          </w:p>
        </w:tc>
        <w:tc>
          <w:tcPr>
            <w:tcW w:w="700" w:type="dxa"/>
            <w:tcBorders>
              <w:top w:val="nil"/>
              <w:left w:val="nil"/>
              <w:bottom w:val="single" w:sz="4" w:space="0" w:color="000000"/>
              <w:right w:val="single" w:sz="4" w:space="0" w:color="000000"/>
            </w:tcBorders>
            <w:shd w:val="clear" w:color="auto" w:fill="auto"/>
            <w:noWrap/>
            <w:vAlign w:val="bottom"/>
            <w:hideMark/>
          </w:tcPr>
          <w:p w14:paraId="018C5CD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8,1</w:t>
            </w:r>
          </w:p>
        </w:tc>
        <w:tc>
          <w:tcPr>
            <w:tcW w:w="660" w:type="dxa"/>
            <w:tcBorders>
              <w:top w:val="nil"/>
              <w:left w:val="nil"/>
              <w:bottom w:val="single" w:sz="4" w:space="0" w:color="000000"/>
              <w:right w:val="single" w:sz="4" w:space="0" w:color="000000"/>
            </w:tcBorders>
            <w:shd w:val="clear" w:color="auto" w:fill="auto"/>
            <w:noWrap/>
            <w:vAlign w:val="bottom"/>
            <w:hideMark/>
          </w:tcPr>
          <w:p w14:paraId="00D2E59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7,3</w:t>
            </w:r>
          </w:p>
        </w:tc>
        <w:tc>
          <w:tcPr>
            <w:tcW w:w="620" w:type="dxa"/>
            <w:tcBorders>
              <w:top w:val="nil"/>
              <w:left w:val="nil"/>
              <w:bottom w:val="single" w:sz="4" w:space="0" w:color="000000"/>
              <w:right w:val="single" w:sz="4" w:space="0" w:color="000000"/>
            </w:tcBorders>
            <w:shd w:val="clear" w:color="auto" w:fill="auto"/>
            <w:noWrap/>
            <w:vAlign w:val="bottom"/>
            <w:hideMark/>
          </w:tcPr>
          <w:p w14:paraId="35BDEBB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5,0</w:t>
            </w:r>
          </w:p>
        </w:tc>
        <w:tc>
          <w:tcPr>
            <w:tcW w:w="660" w:type="dxa"/>
            <w:tcBorders>
              <w:top w:val="nil"/>
              <w:left w:val="nil"/>
              <w:bottom w:val="single" w:sz="4" w:space="0" w:color="000000"/>
              <w:right w:val="single" w:sz="4" w:space="0" w:color="000000"/>
            </w:tcBorders>
            <w:shd w:val="clear" w:color="auto" w:fill="auto"/>
            <w:noWrap/>
            <w:vAlign w:val="bottom"/>
            <w:hideMark/>
          </w:tcPr>
          <w:p w14:paraId="5209342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6,2</w:t>
            </w:r>
          </w:p>
        </w:tc>
        <w:tc>
          <w:tcPr>
            <w:tcW w:w="680" w:type="dxa"/>
            <w:tcBorders>
              <w:top w:val="nil"/>
              <w:left w:val="nil"/>
              <w:bottom w:val="single" w:sz="4" w:space="0" w:color="000000"/>
              <w:right w:val="single" w:sz="4" w:space="0" w:color="000000"/>
            </w:tcBorders>
            <w:shd w:val="clear" w:color="auto" w:fill="auto"/>
            <w:noWrap/>
            <w:vAlign w:val="bottom"/>
            <w:hideMark/>
          </w:tcPr>
          <w:p w14:paraId="46232EF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5,4</w:t>
            </w:r>
          </w:p>
        </w:tc>
        <w:tc>
          <w:tcPr>
            <w:tcW w:w="680" w:type="dxa"/>
            <w:tcBorders>
              <w:top w:val="nil"/>
              <w:left w:val="nil"/>
              <w:bottom w:val="single" w:sz="4" w:space="0" w:color="000000"/>
              <w:right w:val="single" w:sz="4" w:space="0" w:color="000000"/>
            </w:tcBorders>
            <w:shd w:val="clear" w:color="auto" w:fill="auto"/>
            <w:noWrap/>
            <w:vAlign w:val="bottom"/>
            <w:hideMark/>
          </w:tcPr>
          <w:p w14:paraId="4ECC747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9,6</w:t>
            </w:r>
          </w:p>
        </w:tc>
        <w:tc>
          <w:tcPr>
            <w:tcW w:w="1135" w:type="dxa"/>
            <w:tcBorders>
              <w:top w:val="nil"/>
              <w:left w:val="nil"/>
              <w:bottom w:val="single" w:sz="4" w:space="0" w:color="000000"/>
              <w:right w:val="single" w:sz="4" w:space="0" w:color="000000"/>
            </w:tcBorders>
            <w:shd w:val="clear" w:color="auto" w:fill="auto"/>
            <w:noWrap/>
            <w:vAlign w:val="bottom"/>
            <w:hideMark/>
          </w:tcPr>
          <w:p w14:paraId="149C094A"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114,18</w:t>
            </w:r>
          </w:p>
        </w:tc>
      </w:tr>
      <w:tr w:rsidR="00D22200" w:rsidRPr="00D22200" w14:paraId="05AF9273"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1680A474"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Slovakia</w:t>
            </w:r>
          </w:p>
        </w:tc>
        <w:tc>
          <w:tcPr>
            <w:tcW w:w="640" w:type="dxa"/>
            <w:tcBorders>
              <w:top w:val="nil"/>
              <w:left w:val="nil"/>
              <w:bottom w:val="single" w:sz="4" w:space="0" w:color="000000"/>
              <w:right w:val="single" w:sz="4" w:space="0" w:color="000000"/>
            </w:tcBorders>
            <w:shd w:val="clear" w:color="auto" w:fill="auto"/>
            <w:noWrap/>
            <w:vAlign w:val="bottom"/>
            <w:hideMark/>
          </w:tcPr>
          <w:p w14:paraId="6031B8E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6,6</w:t>
            </w:r>
          </w:p>
        </w:tc>
        <w:tc>
          <w:tcPr>
            <w:tcW w:w="640" w:type="dxa"/>
            <w:tcBorders>
              <w:top w:val="nil"/>
              <w:left w:val="nil"/>
              <w:bottom w:val="single" w:sz="4" w:space="0" w:color="000000"/>
              <w:right w:val="single" w:sz="4" w:space="0" w:color="000000"/>
            </w:tcBorders>
            <w:shd w:val="clear" w:color="auto" w:fill="auto"/>
            <w:noWrap/>
            <w:vAlign w:val="bottom"/>
            <w:hideMark/>
          </w:tcPr>
          <w:p w14:paraId="6E8F49A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6,9</w:t>
            </w:r>
          </w:p>
        </w:tc>
        <w:tc>
          <w:tcPr>
            <w:tcW w:w="640" w:type="dxa"/>
            <w:tcBorders>
              <w:top w:val="nil"/>
              <w:left w:val="nil"/>
              <w:bottom w:val="single" w:sz="4" w:space="0" w:color="000000"/>
              <w:right w:val="single" w:sz="4" w:space="0" w:color="000000"/>
            </w:tcBorders>
            <w:shd w:val="clear" w:color="auto" w:fill="auto"/>
            <w:noWrap/>
            <w:vAlign w:val="bottom"/>
            <w:hideMark/>
          </w:tcPr>
          <w:p w14:paraId="0A0AC1A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7,6</w:t>
            </w:r>
          </w:p>
        </w:tc>
        <w:tc>
          <w:tcPr>
            <w:tcW w:w="700" w:type="dxa"/>
            <w:tcBorders>
              <w:top w:val="nil"/>
              <w:left w:val="nil"/>
              <w:bottom w:val="single" w:sz="4" w:space="0" w:color="000000"/>
              <w:right w:val="single" w:sz="4" w:space="0" w:color="000000"/>
            </w:tcBorders>
            <w:shd w:val="clear" w:color="auto" w:fill="auto"/>
            <w:noWrap/>
            <w:vAlign w:val="bottom"/>
            <w:hideMark/>
          </w:tcPr>
          <w:p w14:paraId="59B2E520"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16,2</w:t>
            </w:r>
          </w:p>
        </w:tc>
        <w:tc>
          <w:tcPr>
            <w:tcW w:w="700" w:type="dxa"/>
            <w:tcBorders>
              <w:top w:val="nil"/>
              <w:left w:val="nil"/>
              <w:bottom w:val="single" w:sz="4" w:space="0" w:color="000000"/>
              <w:right w:val="single" w:sz="4" w:space="0" w:color="000000"/>
            </w:tcBorders>
            <w:shd w:val="clear" w:color="auto" w:fill="auto"/>
            <w:noWrap/>
            <w:vAlign w:val="bottom"/>
            <w:hideMark/>
          </w:tcPr>
          <w:p w14:paraId="3F0CD9D6"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9,8</w:t>
            </w:r>
          </w:p>
        </w:tc>
        <w:tc>
          <w:tcPr>
            <w:tcW w:w="660" w:type="dxa"/>
            <w:tcBorders>
              <w:top w:val="nil"/>
              <w:left w:val="nil"/>
              <w:bottom w:val="single" w:sz="4" w:space="0" w:color="000000"/>
              <w:right w:val="single" w:sz="4" w:space="0" w:color="000000"/>
            </w:tcBorders>
            <w:shd w:val="clear" w:color="auto" w:fill="auto"/>
            <w:noWrap/>
            <w:vAlign w:val="bottom"/>
            <w:hideMark/>
          </w:tcPr>
          <w:p w14:paraId="6B0DBF1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5,8</w:t>
            </w:r>
          </w:p>
        </w:tc>
        <w:tc>
          <w:tcPr>
            <w:tcW w:w="620" w:type="dxa"/>
            <w:tcBorders>
              <w:top w:val="nil"/>
              <w:left w:val="nil"/>
              <w:bottom w:val="single" w:sz="4" w:space="0" w:color="000000"/>
              <w:right w:val="single" w:sz="4" w:space="0" w:color="000000"/>
            </w:tcBorders>
            <w:shd w:val="clear" w:color="auto" w:fill="auto"/>
            <w:noWrap/>
            <w:vAlign w:val="bottom"/>
            <w:hideMark/>
          </w:tcPr>
          <w:p w14:paraId="0968686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8,5</w:t>
            </w:r>
          </w:p>
        </w:tc>
        <w:tc>
          <w:tcPr>
            <w:tcW w:w="660" w:type="dxa"/>
            <w:tcBorders>
              <w:top w:val="nil"/>
              <w:left w:val="nil"/>
              <w:bottom w:val="single" w:sz="4" w:space="0" w:color="000000"/>
              <w:right w:val="single" w:sz="4" w:space="0" w:color="000000"/>
            </w:tcBorders>
            <w:shd w:val="clear" w:color="auto" w:fill="auto"/>
            <w:noWrap/>
            <w:vAlign w:val="bottom"/>
            <w:hideMark/>
          </w:tcPr>
          <w:p w14:paraId="05797D3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7,4</w:t>
            </w:r>
          </w:p>
        </w:tc>
        <w:tc>
          <w:tcPr>
            <w:tcW w:w="680" w:type="dxa"/>
            <w:tcBorders>
              <w:top w:val="nil"/>
              <w:left w:val="nil"/>
              <w:bottom w:val="single" w:sz="4" w:space="0" w:color="000000"/>
              <w:right w:val="single" w:sz="4" w:space="0" w:color="000000"/>
            </w:tcBorders>
            <w:shd w:val="clear" w:color="auto" w:fill="auto"/>
            <w:noWrap/>
            <w:vAlign w:val="bottom"/>
            <w:hideMark/>
          </w:tcPr>
          <w:p w14:paraId="20C4E23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7,2</w:t>
            </w:r>
          </w:p>
        </w:tc>
        <w:tc>
          <w:tcPr>
            <w:tcW w:w="680" w:type="dxa"/>
            <w:tcBorders>
              <w:top w:val="nil"/>
              <w:left w:val="nil"/>
              <w:bottom w:val="single" w:sz="4" w:space="0" w:color="000000"/>
              <w:right w:val="single" w:sz="4" w:space="0" w:color="000000"/>
            </w:tcBorders>
            <w:shd w:val="clear" w:color="auto" w:fill="auto"/>
            <w:noWrap/>
            <w:vAlign w:val="bottom"/>
            <w:hideMark/>
          </w:tcPr>
          <w:p w14:paraId="3C267BB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5,8</w:t>
            </w:r>
          </w:p>
        </w:tc>
        <w:tc>
          <w:tcPr>
            <w:tcW w:w="1135" w:type="dxa"/>
            <w:tcBorders>
              <w:top w:val="nil"/>
              <w:left w:val="nil"/>
              <w:bottom w:val="single" w:sz="4" w:space="0" w:color="000000"/>
              <w:right w:val="single" w:sz="4" w:space="0" w:color="000000"/>
            </w:tcBorders>
            <w:shd w:val="clear" w:color="auto" w:fill="auto"/>
            <w:noWrap/>
            <w:vAlign w:val="bottom"/>
            <w:hideMark/>
          </w:tcPr>
          <w:p w14:paraId="2B661139"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118,75</w:t>
            </w:r>
          </w:p>
        </w:tc>
      </w:tr>
      <w:tr w:rsidR="00D22200" w:rsidRPr="00D22200" w14:paraId="40DE7583"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3B91F7FB"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Finland</w:t>
            </w:r>
          </w:p>
        </w:tc>
        <w:tc>
          <w:tcPr>
            <w:tcW w:w="640" w:type="dxa"/>
            <w:tcBorders>
              <w:top w:val="nil"/>
              <w:left w:val="nil"/>
              <w:bottom w:val="single" w:sz="4" w:space="0" w:color="000000"/>
              <w:right w:val="single" w:sz="4" w:space="0" w:color="000000"/>
            </w:tcBorders>
            <w:shd w:val="clear" w:color="auto" w:fill="auto"/>
            <w:noWrap/>
            <w:vAlign w:val="bottom"/>
            <w:hideMark/>
          </w:tcPr>
          <w:p w14:paraId="69E3267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640" w:type="dxa"/>
            <w:tcBorders>
              <w:top w:val="nil"/>
              <w:left w:val="nil"/>
              <w:bottom w:val="single" w:sz="4" w:space="0" w:color="000000"/>
              <w:right w:val="single" w:sz="4" w:space="0" w:color="000000"/>
            </w:tcBorders>
            <w:shd w:val="clear" w:color="auto" w:fill="auto"/>
            <w:noWrap/>
            <w:vAlign w:val="bottom"/>
            <w:hideMark/>
          </w:tcPr>
          <w:p w14:paraId="4A4835C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2,7</w:t>
            </w:r>
          </w:p>
        </w:tc>
        <w:tc>
          <w:tcPr>
            <w:tcW w:w="640" w:type="dxa"/>
            <w:tcBorders>
              <w:top w:val="nil"/>
              <w:left w:val="nil"/>
              <w:bottom w:val="single" w:sz="4" w:space="0" w:color="000000"/>
              <w:right w:val="single" w:sz="4" w:space="0" w:color="000000"/>
            </w:tcBorders>
            <w:shd w:val="clear" w:color="auto" w:fill="auto"/>
            <w:noWrap/>
            <w:vAlign w:val="bottom"/>
            <w:hideMark/>
          </w:tcPr>
          <w:p w14:paraId="4F438E6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6,7</w:t>
            </w:r>
          </w:p>
        </w:tc>
        <w:tc>
          <w:tcPr>
            <w:tcW w:w="700" w:type="dxa"/>
            <w:tcBorders>
              <w:top w:val="nil"/>
              <w:left w:val="nil"/>
              <w:bottom w:val="single" w:sz="4" w:space="0" w:color="000000"/>
              <w:right w:val="single" w:sz="4" w:space="0" w:color="000000"/>
            </w:tcBorders>
            <w:shd w:val="clear" w:color="auto" w:fill="auto"/>
            <w:noWrap/>
            <w:vAlign w:val="bottom"/>
            <w:hideMark/>
          </w:tcPr>
          <w:p w14:paraId="6DBBA67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4,7</w:t>
            </w:r>
          </w:p>
        </w:tc>
        <w:tc>
          <w:tcPr>
            <w:tcW w:w="700" w:type="dxa"/>
            <w:tcBorders>
              <w:top w:val="nil"/>
              <w:left w:val="nil"/>
              <w:bottom w:val="single" w:sz="4" w:space="0" w:color="000000"/>
              <w:right w:val="single" w:sz="4" w:space="0" w:color="000000"/>
            </w:tcBorders>
            <w:shd w:val="clear" w:color="auto" w:fill="auto"/>
            <w:noWrap/>
            <w:vAlign w:val="bottom"/>
            <w:hideMark/>
          </w:tcPr>
          <w:p w14:paraId="52EF00C5"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660" w:type="dxa"/>
            <w:tcBorders>
              <w:top w:val="nil"/>
              <w:left w:val="nil"/>
              <w:bottom w:val="single" w:sz="4" w:space="0" w:color="000000"/>
              <w:right w:val="single" w:sz="4" w:space="0" w:color="000000"/>
            </w:tcBorders>
            <w:shd w:val="clear" w:color="auto" w:fill="auto"/>
            <w:noWrap/>
            <w:vAlign w:val="bottom"/>
            <w:hideMark/>
          </w:tcPr>
          <w:p w14:paraId="35FD6D0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2,3</w:t>
            </w:r>
          </w:p>
        </w:tc>
        <w:tc>
          <w:tcPr>
            <w:tcW w:w="620" w:type="dxa"/>
            <w:tcBorders>
              <w:top w:val="nil"/>
              <w:left w:val="nil"/>
              <w:bottom w:val="single" w:sz="4" w:space="0" w:color="000000"/>
              <w:right w:val="single" w:sz="4" w:space="0" w:color="000000"/>
            </w:tcBorders>
            <w:shd w:val="clear" w:color="auto" w:fill="auto"/>
            <w:noWrap/>
            <w:vAlign w:val="bottom"/>
            <w:hideMark/>
          </w:tcPr>
          <w:p w14:paraId="564D12EA"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5,3</w:t>
            </w:r>
          </w:p>
        </w:tc>
        <w:tc>
          <w:tcPr>
            <w:tcW w:w="660" w:type="dxa"/>
            <w:tcBorders>
              <w:top w:val="nil"/>
              <w:left w:val="nil"/>
              <w:bottom w:val="single" w:sz="4" w:space="0" w:color="000000"/>
              <w:right w:val="single" w:sz="4" w:space="0" w:color="000000"/>
            </w:tcBorders>
            <w:shd w:val="clear" w:color="auto" w:fill="auto"/>
            <w:noWrap/>
            <w:vAlign w:val="bottom"/>
            <w:hideMark/>
          </w:tcPr>
          <w:p w14:paraId="65DB85A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2,1</w:t>
            </w:r>
          </w:p>
        </w:tc>
        <w:tc>
          <w:tcPr>
            <w:tcW w:w="680" w:type="dxa"/>
            <w:tcBorders>
              <w:top w:val="nil"/>
              <w:left w:val="nil"/>
              <w:bottom w:val="single" w:sz="4" w:space="0" w:color="000000"/>
              <w:right w:val="single" w:sz="4" w:space="0" w:color="000000"/>
            </w:tcBorders>
            <w:shd w:val="clear" w:color="auto" w:fill="auto"/>
            <w:noWrap/>
            <w:vAlign w:val="bottom"/>
            <w:hideMark/>
          </w:tcPr>
          <w:p w14:paraId="31A25D8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2,5</w:t>
            </w:r>
          </w:p>
        </w:tc>
        <w:tc>
          <w:tcPr>
            <w:tcW w:w="680" w:type="dxa"/>
            <w:tcBorders>
              <w:top w:val="nil"/>
              <w:left w:val="nil"/>
              <w:bottom w:val="single" w:sz="4" w:space="0" w:color="000000"/>
              <w:right w:val="single" w:sz="4" w:space="0" w:color="000000"/>
            </w:tcBorders>
            <w:shd w:val="clear" w:color="auto" w:fill="auto"/>
            <w:noWrap/>
            <w:vAlign w:val="bottom"/>
            <w:hideMark/>
          </w:tcPr>
          <w:p w14:paraId="3CEB27C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5,4</w:t>
            </w:r>
          </w:p>
        </w:tc>
        <w:tc>
          <w:tcPr>
            <w:tcW w:w="1135" w:type="dxa"/>
            <w:tcBorders>
              <w:top w:val="nil"/>
              <w:left w:val="nil"/>
              <w:bottom w:val="single" w:sz="4" w:space="0" w:color="000000"/>
              <w:right w:val="single" w:sz="4" w:space="0" w:color="000000"/>
            </w:tcBorders>
            <w:shd w:val="clear" w:color="auto" w:fill="auto"/>
            <w:noWrap/>
            <w:vAlign w:val="bottom"/>
            <w:hideMark/>
          </w:tcPr>
          <w:p w14:paraId="24613943"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46,46</w:t>
            </w:r>
          </w:p>
        </w:tc>
      </w:tr>
      <w:tr w:rsidR="00D22200" w:rsidRPr="00D22200" w14:paraId="30987A7A"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314F08F1"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Sweden</w:t>
            </w:r>
          </w:p>
        </w:tc>
        <w:tc>
          <w:tcPr>
            <w:tcW w:w="640" w:type="dxa"/>
            <w:tcBorders>
              <w:top w:val="nil"/>
              <w:left w:val="nil"/>
              <w:bottom w:val="single" w:sz="4" w:space="0" w:color="000000"/>
              <w:right w:val="single" w:sz="4" w:space="0" w:color="000000"/>
            </w:tcBorders>
            <w:shd w:val="clear" w:color="auto" w:fill="auto"/>
            <w:noWrap/>
            <w:vAlign w:val="bottom"/>
            <w:hideMark/>
          </w:tcPr>
          <w:p w14:paraId="4016E409"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3,9</w:t>
            </w:r>
          </w:p>
        </w:tc>
        <w:tc>
          <w:tcPr>
            <w:tcW w:w="640" w:type="dxa"/>
            <w:tcBorders>
              <w:top w:val="nil"/>
              <w:left w:val="nil"/>
              <w:bottom w:val="single" w:sz="4" w:space="0" w:color="000000"/>
              <w:right w:val="single" w:sz="4" w:space="0" w:color="000000"/>
            </w:tcBorders>
            <w:shd w:val="clear" w:color="auto" w:fill="auto"/>
            <w:noWrap/>
            <w:vAlign w:val="bottom"/>
            <w:hideMark/>
          </w:tcPr>
          <w:p w14:paraId="493708F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4,5</w:t>
            </w:r>
          </w:p>
        </w:tc>
        <w:tc>
          <w:tcPr>
            <w:tcW w:w="640" w:type="dxa"/>
            <w:tcBorders>
              <w:top w:val="nil"/>
              <w:left w:val="nil"/>
              <w:bottom w:val="single" w:sz="4" w:space="0" w:color="000000"/>
              <w:right w:val="single" w:sz="4" w:space="0" w:color="000000"/>
            </w:tcBorders>
            <w:shd w:val="clear" w:color="auto" w:fill="auto"/>
            <w:noWrap/>
            <w:vAlign w:val="bottom"/>
            <w:hideMark/>
          </w:tcPr>
          <w:p w14:paraId="5F606B9C"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5,2</w:t>
            </w:r>
          </w:p>
        </w:tc>
        <w:tc>
          <w:tcPr>
            <w:tcW w:w="700" w:type="dxa"/>
            <w:tcBorders>
              <w:top w:val="nil"/>
              <w:left w:val="nil"/>
              <w:bottom w:val="single" w:sz="4" w:space="0" w:color="000000"/>
              <w:right w:val="single" w:sz="4" w:space="0" w:color="000000"/>
            </w:tcBorders>
            <w:shd w:val="clear" w:color="auto" w:fill="auto"/>
            <w:noWrap/>
            <w:vAlign w:val="bottom"/>
            <w:hideMark/>
          </w:tcPr>
          <w:p w14:paraId="110D2521"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3,4</w:t>
            </w:r>
          </w:p>
        </w:tc>
        <w:tc>
          <w:tcPr>
            <w:tcW w:w="700" w:type="dxa"/>
            <w:tcBorders>
              <w:top w:val="nil"/>
              <w:left w:val="nil"/>
              <w:bottom w:val="single" w:sz="4" w:space="0" w:color="000000"/>
              <w:right w:val="single" w:sz="4" w:space="0" w:color="000000"/>
            </w:tcBorders>
            <w:shd w:val="clear" w:color="auto" w:fill="auto"/>
            <w:noWrap/>
            <w:vAlign w:val="bottom"/>
            <w:hideMark/>
          </w:tcPr>
          <w:p w14:paraId="4056143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4,9</w:t>
            </w:r>
          </w:p>
        </w:tc>
        <w:tc>
          <w:tcPr>
            <w:tcW w:w="660" w:type="dxa"/>
            <w:tcBorders>
              <w:top w:val="nil"/>
              <w:left w:val="nil"/>
              <w:bottom w:val="single" w:sz="4" w:space="0" w:color="000000"/>
              <w:right w:val="single" w:sz="4" w:space="0" w:color="000000"/>
            </w:tcBorders>
            <w:shd w:val="clear" w:color="auto" w:fill="auto"/>
            <w:noWrap/>
            <w:vAlign w:val="bottom"/>
            <w:hideMark/>
          </w:tcPr>
          <w:p w14:paraId="415268C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3,1</w:t>
            </w:r>
          </w:p>
        </w:tc>
        <w:tc>
          <w:tcPr>
            <w:tcW w:w="620" w:type="dxa"/>
            <w:tcBorders>
              <w:top w:val="nil"/>
              <w:left w:val="nil"/>
              <w:bottom w:val="single" w:sz="4" w:space="0" w:color="000000"/>
              <w:right w:val="single" w:sz="4" w:space="0" w:color="000000"/>
            </w:tcBorders>
            <w:shd w:val="clear" w:color="auto" w:fill="auto"/>
            <w:noWrap/>
            <w:vAlign w:val="bottom"/>
            <w:hideMark/>
          </w:tcPr>
          <w:p w14:paraId="118AA297"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3,3</w:t>
            </w:r>
          </w:p>
        </w:tc>
        <w:tc>
          <w:tcPr>
            <w:tcW w:w="660" w:type="dxa"/>
            <w:tcBorders>
              <w:top w:val="nil"/>
              <w:left w:val="nil"/>
              <w:bottom w:val="single" w:sz="4" w:space="0" w:color="000000"/>
              <w:right w:val="single" w:sz="4" w:space="0" w:color="000000"/>
            </w:tcBorders>
            <w:shd w:val="clear" w:color="auto" w:fill="auto"/>
            <w:noWrap/>
            <w:vAlign w:val="bottom"/>
            <w:hideMark/>
          </w:tcPr>
          <w:p w14:paraId="0E8C3DD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1,6</w:t>
            </w:r>
          </w:p>
        </w:tc>
        <w:tc>
          <w:tcPr>
            <w:tcW w:w="680" w:type="dxa"/>
            <w:tcBorders>
              <w:top w:val="nil"/>
              <w:left w:val="nil"/>
              <w:bottom w:val="single" w:sz="4" w:space="0" w:color="000000"/>
              <w:right w:val="single" w:sz="4" w:space="0" w:color="000000"/>
            </w:tcBorders>
            <w:shd w:val="clear" w:color="auto" w:fill="auto"/>
            <w:noWrap/>
            <w:vAlign w:val="bottom"/>
            <w:hideMark/>
          </w:tcPr>
          <w:p w14:paraId="352D49C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80" w:type="dxa"/>
            <w:tcBorders>
              <w:top w:val="nil"/>
              <w:left w:val="nil"/>
              <w:bottom w:val="single" w:sz="4" w:space="0" w:color="000000"/>
              <w:right w:val="single" w:sz="4" w:space="0" w:color="000000"/>
            </w:tcBorders>
            <w:shd w:val="clear" w:color="auto" w:fill="auto"/>
            <w:noWrap/>
            <w:vAlign w:val="bottom"/>
            <w:hideMark/>
          </w:tcPr>
          <w:p w14:paraId="25744DF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2,6</w:t>
            </w:r>
          </w:p>
        </w:tc>
        <w:tc>
          <w:tcPr>
            <w:tcW w:w="1135" w:type="dxa"/>
            <w:tcBorders>
              <w:top w:val="nil"/>
              <w:left w:val="nil"/>
              <w:bottom w:val="single" w:sz="4" w:space="0" w:color="000000"/>
              <w:right w:val="single" w:sz="4" w:space="0" w:color="000000"/>
            </w:tcBorders>
            <w:shd w:val="clear" w:color="auto" w:fill="auto"/>
            <w:noWrap/>
            <w:vAlign w:val="bottom"/>
            <w:hideMark/>
          </w:tcPr>
          <w:p w14:paraId="79E0653B"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42,36</w:t>
            </w:r>
          </w:p>
        </w:tc>
      </w:tr>
      <w:tr w:rsidR="00D22200" w:rsidRPr="00D22200" w14:paraId="29C5E972" w14:textId="77777777" w:rsidTr="00D22200">
        <w:trPr>
          <w:divId w:val="339746552"/>
          <w:trHeight w:val="280"/>
        </w:trPr>
        <w:tc>
          <w:tcPr>
            <w:tcW w:w="1454" w:type="dxa"/>
            <w:tcBorders>
              <w:top w:val="nil"/>
              <w:left w:val="single" w:sz="4" w:space="0" w:color="000000"/>
              <w:bottom w:val="single" w:sz="4" w:space="0" w:color="000000"/>
              <w:right w:val="single" w:sz="4" w:space="0" w:color="000000"/>
            </w:tcBorders>
            <w:shd w:val="clear" w:color="000000" w:fill="99CCFF"/>
            <w:noWrap/>
            <w:vAlign w:val="bottom"/>
            <w:hideMark/>
          </w:tcPr>
          <w:p w14:paraId="649F5F7A" w14:textId="77777777" w:rsidR="00D22200" w:rsidRPr="00D22200" w:rsidRDefault="00D22200" w:rsidP="00AB05A6">
            <w:pPr>
              <w:spacing w:after="0" w:line="360" w:lineRule="auto"/>
              <w:rPr>
                <w:rFonts w:ascii="Arial" w:eastAsia="Times New Roman" w:hAnsi="Arial" w:cs="Arial"/>
                <w:sz w:val="20"/>
                <w:szCs w:val="20"/>
              </w:rPr>
            </w:pPr>
            <w:r w:rsidRPr="00D22200">
              <w:rPr>
                <w:rFonts w:ascii="Arial" w:eastAsia="Times New Roman" w:hAnsi="Arial" w:cs="Arial"/>
                <w:sz w:val="20"/>
                <w:szCs w:val="20"/>
              </w:rPr>
              <w:t>United Kingdom</w:t>
            </w:r>
          </w:p>
        </w:tc>
        <w:tc>
          <w:tcPr>
            <w:tcW w:w="640" w:type="dxa"/>
            <w:tcBorders>
              <w:top w:val="nil"/>
              <w:left w:val="nil"/>
              <w:bottom w:val="single" w:sz="4" w:space="0" w:color="000000"/>
              <w:right w:val="single" w:sz="4" w:space="0" w:color="000000"/>
            </w:tcBorders>
            <w:shd w:val="clear" w:color="auto" w:fill="auto"/>
            <w:noWrap/>
            <w:vAlign w:val="bottom"/>
            <w:hideMark/>
          </w:tcPr>
          <w:p w14:paraId="511EBE42"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4,7</w:t>
            </w:r>
          </w:p>
        </w:tc>
        <w:tc>
          <w:tcPr>
            <w:tcW w:w="640" w:type="dxa"/>
            <w:tcBorders>
              <w:top w:val="nil"/>
              <w:left w:val="nil"/>
              <w:bottom w:val="single" w:sz="4" w:space="0" w:color="000000"/>
              <w:right w:val="single" w:sz="4" w:space="0" w:color="000000"/>
            </w:tcBorders>
            <w:shd w:val="clear" w:color="auto" w:fill="auto"/>
            <w:noWrap/>
            <w:vAlign w:val="bottom"/>
            <w:hideMark/>
          </w:tcPr>
          <w:p w14:paraId="2375DC3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5,0</w:t>
            </w:r>
          </w:p>
        </w:tc>
        <w:tc>
          <w:tcPr>
            <w:tcW w:w="640" w:type="dxa"/>
            <w:tcBorders>
              <w:top w:val="nil"/>
              <w:left w:val="nil"/>
              <w:bottom w:val="single" w:sz="4" w:space="0" w:color="000000"/>
              <w:right w:val="single" w:sz="4" w:space="0" w:color="000000"/>
            </w:tcBorders>
            <w:shd w:val="clear" w:color="auto" w:fill="auto"/>
            <w:noWrap/>
            <w:vAlign w:val="bottom"/>
            <w:hideMark/>
          </w:tcPr>
          <w:p w14:paraId="7B8F106F"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5,6</w:t>
            </w:r>
          </w:p>
        </w:tc>
        <w:tc>
          <w:tcPr>
            <w:tcW w:w="700" w:type="dxa"/>
            <w:tcBorders>
              <w:top w:val="nil"/>
              <w:left w:val="nil"/>
              <w:bottom w:val="single" w:sz="4" w:space="0" w:color="000000"/>
              <w:right w:val="single" w:sz="4" w:space="0" w:color="000000"/>
            </w:tcBorders>
            <w:shd w:val="clear" w:color="auto" w:fill="auto"/>
            <w:noWrap/>
            <w:vAlign w:val="bottom"/>
            <w:hideMark/>
          </w:tcPr>
          <w:p w14:paraId="3A76715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4,8</w:t>
            </w:r>
          </w:p>
        </w:tc>
        <w:tc>
          <w:tcPr>
            <w:tcW w:w="700" w:type="dxa"/>
            <w:tcBorders>
              <w:top w:val="nil"/>
              <w:left w:val="nil"/>
              <w:bottom w:val="single" w:sz="4" w:space="0" w:color="000000"/>
              <w:right w:val="single" w:sz="4" w:space="0" w:color="000000"/>
            </w:tcBorders>
            <w:shd w:val="clear" w:color="auto" w:fill="auto"/>
            <w:noWrap/>
            <w:vAlign w:val="bottom"/>
            <w:hideMark/>
          </w:tcPr>
          <w:p w14:paraId="6CE678DB"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4,5</w:t>
            </w:r>
          </w:p>
        </w:tc>
        <w:tc>
          <w:tcPr>
            <w:tcW w:w="660" w:type="dxa"/>
            <w:tcBorders>
              <w:top w:val="nil"/>
              <w:left w:val="nil"/>
              <w:bottom w:val="single" w:sz="4" w:space="0" w:color="000000"/>
              <w:right w:val="single" w:sz="4" w:space="0" w:color="000000"/>
            </w:tcBorders>
            <w:shd w:val="clear" w:color="auto" w:fill="auto"/>
            <w:noWrap/>
            <w:vAlign w:val="bottom"/>
            <w:hideMark/>
          </w:tcPr>
          <w:p w14:paraId="60B7657D"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6,9</w:t>
            </w:r>
          </w:p>
        </w:tc>
        <w:tc>
          <w:tcPr>
            <w:tcW w:w="620" w:type="dxa"/>
            <w:tcBorders>
              <w:top w:val="nil"/>
              <w:left w:val="nil"/>
              <w:bottom w:val="single" w:sz="4" w:space="0" w:color="000000"/>
              <w:right w:val="single" w:sz="4" w:space="0" w:color="000000"/>
            </w:tcBorders>
            <w:shd w:val="clear" w:color="auto" w:fill="auto"/>
            <w:noWrap/>
            <w:vAlign w:val="bottom"/>
            <w:hideMark/>
          </w:tcPr>
          <w:p w14:paraId="76BD570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3,5</w:t>
            </w:r>
          </w:p>
        </w:tc>
        <w:tc>
          <w:tcPr>
            <w:tcW w:w="660" w:type="dxa"/>
            <w:tcBorders>
              <w:top w:val="nil"/>
              <w:left w:val="nil"/>
              <w:bottom w:val="single" w:sz="4" w:space="0" w:color="000000"/>
              <w:right w:val="single" w:sz="4" w:space="0" w:color="000000"/>
            </w:tcBorders>
            <w:shd w:val="clear" w:color="auto" w:fill="auto"/>
            <w:noWrap/>
            <w:vAlign w:val="bottom"/>
            <w:hideMark/>
          </w:tcPr>
          <w:p w14:paraId="58C0B9F4"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3,6</w:t>
            </w:r>
          </w:p>
        </w:tc>
        <w:tc>
          <w:tcPr>
            <w:tcW w:w="680" w:type="dxa"/>
            <w:tcBorders>
              <w:top w:val="nil"/>
              <w:left w:val="nil"/>
              <w:bottom w:val="single" w:sz="4" w:space="0" w:color="000000"/>
              <w:right w:val="single" w:sz="4" w:space="0" w:color="000000"/>
            </w:tcBorders>
            <w:shd w:val="clear" w:color="auto" w:fill="auto"/>
            <w:noWrap/>
            <w:vAlign w:val="bottom"/>
            <w:hideMark/>
          </w:tcPr>
          <w:p w14:paraId="74AA9CC8"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5,3</w:t>
            </w:r>
          </w:p>
        </w:tc>
        <w:tc>
          <w:tcPr>
            <w:tcW w:w="680" w:type="dxa"/>
            <w:tcBorders>
              <w:top w:val="nil"/>
              <w:left w:val="nil"/>
              <w:bottom w:val="single" w:sz="4" w:space="0" w:color="000000"/>
              <w:right w:val="single" w:sz="4" w:space="0" w:color="000000"/>
            </w:tcBorders>
            <w:shd w:val="clear" w:color="auto" w:fill="auto"/>
            <w:noWrap/>
            <w:vAlign w:val="bottom"/>
            <w:hideMark/>
          </w:tcPr>
          <w:p w14:paraId="504D8803" w14:textId="77777777" w:rsidR="00D22200" w:rsidRPr="00D22200" w:rsidRDefault="00D22200" w:rsidP="00AB05A6">
            <w:pPr>
              <w:spacing w:after="0" w:line="360" w:lineRule="auto"/>
              <w:jc w:val="right"/>
              <w:rPr>
                <w:rFonts w:ascii="Arial" w:eastAsia="Times New Roman" w:hAnsi="Arial" w:cs="Arial"/>
                <w:sz w:val="20"/>
                <w:szCs w:val="20"/>
              </w:rPr>
            </w:pPr>
            <w:r w:rsidRPr="00D22200">
              <w:rPr>
                <w:rFonts w:ascii="Arial" w:eastAsia="Times New Roman" w:hAnsi="Arial" w:cs="Arial"/>
                <w:sz w:val="20"/>
                <w:szCs w:val="20"/>
              </w:rPr>
              <w:t>4,7</w:t>
            </w:r>
          </w:p>
        </w:tc>
        <w:tc>
          <w:tcPr>
            <w:tcW w:w="1135" w:type="dxa"/>
            <w:tcBorders>
              <w:top w:val="nil"/>
              <w:left w:val="nil"/>
              <w:bottom w:val="single" w:sz="4" w:space="0" w:color="000000"/>
              <w:right w:val="single" w:sz="4" w:space="0" w:color="000000"/>
            </w:tcBorders>
            <w:shd w:val="clear" w:color="auto" w:fill="auto"/>
            <w:noWrap/>
            <w:vAlign w:val="bottom"/>
            <w:hideMark/>
          </w:tcPr>
          <w:p w14:paraId="4967AF89" w14:textId="77777777" w:rsidR="00D22200" w:rsidRPr="00D22200" w:rsidRDefault="00D22200" w:rsidP="00AB05A6">
            <w:pPr>
              <w:spacing w:after="0" w:line="360" w:lineRule="auto"/>
              <w:jc w:val="right"/>
              <w:rPr>
                <w:rFonts w:ascii="Arial" w:eastAsia="Times New Roman" w:hAnsi="Arial" w:cs="Arial"/>
              </w:rPr>
            </w:pPr>
            <w:r w:rsidRPr="00D22200">
              <w:rPr>
                <w:rFonts w:ascii="Arial" w:eastAsia="Times New Roman" w:hAnsi="Arial" w:cs="Arial"/>
              </w:rPr>
              <w:t>60,67</w:t>
            </w:r>
          </w:p>
        </w:tc>
      </w:tr>
    </w:tbl>
    <w:p w14:paraId="411DA87D" w14:textId="41E50A01" w:rsidR="00C337AF" w:rsidRPr="00AB56A1" w:rsidRDefault="00C337AF" w:rsidP="00AB05A6">
      <w:pPr>
        <w:spacing w:line="360" w:lineRule="auto"/>
        <w:ind w:firstLine="708"/>
        <w:jc w:val="both"/>
        <w:rPr>
          <w:rFonts w:ascii="Times New Roman" w:eastAsia="Times New Roman" w:hAnsi="Times New Roman" w:cs="Times New Roman"/>
          <w:sz w:val="24"/>
          <w:szCs w:val="24"/>
        </w:rPr>
      </w:pPr>
      <w:r w:rsidRPr="00AB56A1">
        <w:rPr>
          <w:rFonts w:ascii="Times New Roman" w:eastAsia="Times New Roman" w:hAnsi="Times New Roman" w:cs="Times New Roman"/>
          <w:sz w:val="24"/>
          <w:szCs w:val="24"/>
        </w:rPr>
        <w:fldChar w:fldCharType="end"/>
      </w:r>
      <w:r w:rsidRPr="00AB56A1">
        <w:rPr>
          <w:rFonts w:ascii="Times New Roman" w:hAnsi="Times New Roman"/>
          <w:sz w:val="24"/>
          <w:szCs w:val="24"/>
        </w:rPr>
        <w:t xml:space="preserve">Source: </w:t>
      </w:r>
      <w:r w:rsidR="00AB05A6">
        <w:rPr>
          <w:rFonts w:ascii="Times New Roman" w:hAnsi="Times New Roman"/>
          <w:sz w:val="24"/>
          <w:szCs w:val="24"/>
        </w:rPr>
        <w:t xml:space="preserve">Author’s calculation based on </w:t>
      </w:r>
      <w:r w:rsidRPr="00AB56A1">
        <w:rPr>
          <w:rFonts w:ascii="Times New Roman" w:hAnsi="Times New Roman"/>
          <w:sz w:val="24"/>
          <w:szCs w:val="24"/>
        </w:rPr>
        <w:t>Eurostat</w:t>
      </w:r>
      <w:r w:rsidR="00AB05A6">
        <w:rPr>
          <w:rFonts w:ascii="Times New Roman" w:hAnsi="Times New Roman"/>
          <w:sz w:val="24"/>
          <w:szCs w:val="24"/>
        </w:rPr>
        <w:t xml:space="preserve"> data</w:t>
      </w:r>
    </w:p>
    <w:p w14:paraId="29D594DC" w14:textId="77777777" w:rsidR="000D6940" w:rsidRPr="00AB56A1" w:rsidRDefault="000D6940" w:rsidP="00AB05A6">
      <w:pPr>
        <w:spacing w:after="0" w:line="360" w:lineRule="auto"/>
        <w:ind w:firstLine="708"/>
        <w:jc w:val="both"/>
        <w:rPr>
          <w:rFonts w:ascii="Times New Roman" w:eastAsia="Times New Roman" w:hAnsi="Times New Roman" w:cs="Times New Roman"/>
          <w:sz w:val="24"/>
          <w:szCs w:val="24"/>
        </w:rPr>
      </w:pPr>
    </w:p>
    <w:p w14:paraId="01BC8069" w14:textId="54732008" w:rsidR="000D6940" w:rsidRDefault="000D6940" w:rsidP="00AB05A6">
      <w:pPr>
        <w:spacing w:after="0" w:line="360" w:lineRule="auto"/>
        <w:ind w:firstLine="708"/>
        <w:jc w:val="both"/>
        <w:rPr>
          <w:rFonts w:ascii="Times New Roman" w:hAnsi="Times New Roman"/>
          <w:sz w:val="24"/>
          <w:szCs w:val="24"/>
        </w:rPr>
      </w:pPr>
      <w:r w:rsidRPr="00AB56A1">
        <w:rPr>
          <w:rFonts w:ascii="Times New Roman" w:hAnsi="Times New Roman"/>
          <w:sz w:val="24"/>
          <w:szCs w:val="24"/>
        </w:rPr>
        <w:t>While analysing the above-presented data, it is worth paying attention</w:t>
      </w:r>
      <w:r w:rsidR="00C8388D">
        <w:rPr>
          <w:rFonts w:ascii="Times New Roman" w:hAnsi="Times New Roman"/>
          <w:sz w:val="24"/>
          <w:szCs w:val="24"/>
        </w:rPr>
        <w:t xml:space="preserve"> to the fact</w:t>
      </w:r>
      <w:r w:rsidRPr="00AB56A1">
        <w:rPr>
          <w:rFonts w:ascii="Times New Roman" w:hAnsi="Times New Roman"/>
          <w:sz w:val="24"/>
          <w:szCs w:val="24"/>
        </w:rPr>
        <w:t xml:space="preserve"> that despite these </w:t>
      </w:r>
      <w:r w:rsidR="00C8388D">
        <w:rPr>
          <w:rFonts w:ascii="Times New Roman" w:hAnsi="Times New Roman"/>
          <w:sz w:val="24"/>
          <w:szCs w:val="24"/>
        </w:rPr>
        <w:t>being</w:t>
      </w:r>
      <w:r w:rsidR="00C8388D" w:rsidRPr="00AB56A1">
        <w:rPr>
          <w:rFonts w:ascii="Times New Roman" w:hAnsi="Times New Roman"/>
          <w:sz w:val="24"/>
          <w:szCs w:val="24"/>
        </w:rPr>
        <w:t xml:space="preserve"> </w:t>
      </w:r>
      <w:r w:rsidRPr="00AB56A1">
        <w:rPr>
          <w:rFonts w:ascii="Times New Roman" w:hAnsi="Times New Roman"/>
          <w:sz w:val="24"/>
          <w:szCs w:val="24"/>
        </w:rPr>
        <w:t xml:space="preserve">nominal values, they are clearly comparable at </w:t>
      </w:r>
      <w:r w:rsidR="00C8388D">
        <w:rPr>
          <w:rFonts w:ascii="Times New Roman" w:hAnsi="Times New Roman"/>
          <w:sz w:val="24"/>
          <w:szCs w:val="24"/>
        </w:rPr>
        <w:t xml:space="preserve">the </w:t>
      </w:r>
      <w:r w:rsidRPr="00AB56A1">
        <w:rPr>
          <w:rFonts w:ascii="Times New Roman" w:hAnsi="Times New Roman"/>
          <w:sz w:val="24"/>
          <w:szCs w:val="24"/>
        </w:rPr>
        <w:t xml:space="preserve">international level because most EU countries use </w:t>
      </w:r>
      <w:r w:rsidR="00CE68A4">
        <w:rPr>
          <w:rFonts w:ascii="Times New Roman" w:hAnsi="Times New Roman"/>
          <w:sz w:val="24"/>
          <w:szCs w:val="24"/>
        </w:rPr>
        <w:t xml:space="preserve">the </w:t>
      </w:r>
      <w:r w:rsidRPr="00AB56A1">
        <w:rPr>
          <w:rFonts w:ascii="Times New Roman" w:hAnsi="Times New Roman"/>
          <w:sz w:val="24"/>
          <w:szCs w:val="24"/>
        </w:rPr>
        <w:t xml:space="preserve">euro as a common currency. In many countries that still have their own currency, a pegged exchange rate linked with </w:t>
      </w:r>
      <w:r w:rsidR="00CE68A4">
        <w:rPr>
          <w:rFonts w:ascii="Times New Roman" w:hAnsi="Times New Roman"/>
          <w:sz w:val="24"/>
          <w:szCs w:val="24"/>
        </w:rPr>
        <w:t xml:space="preserve">the </w:t>
      </w:r>
      <w:r w:rsidRPr="00AB56A1">
        <w:rPr>
          <w:rFonts w:ascii="Times New Roman" w:hAnsi="Times New Roman"/>
          <w:sz w:val="24"/>
          <w:szCs w:val="24"/>
        </w:rPr>
        <w:t xml:space="preserve">euro (Baltic countries, Denmark, Bulgaria) is applied, so changes in </w:t>
      </w:r>
      <w:r w:rsidR="00CE68A4">
        <w:rPr>
          <w:rFonts w:ascii="Times New Roman" w:hAnsi="Times New Roman"/>
          <w:sz w:val="24"/>
          <w:szCs w:val="24"/>
        </w:rPr>
        <w:t xml:space="preserve">the </w:t>
      </w:r>
      <w:r w:rsidRPr="00AB56A1">
        <w:rPr>
          <w:rFonts w:ascii="Times New Roman" w:hAnsi="Times New Roman"/>
          <w:sz w:val="24"/>
          <w:szCs w:val="24"/>
        </w:rPr>
        <w:t xml:space="preserve">nominal exchange rate occur only in several countries: in Poland, Hungary, Czech Republic, Sweden and </w:t>
      </w:r>
      <w:r w:rsidR="00CE68A4">
        <w:rPr>
          <w:rFonts w:ascii="Times New Roman" w:hAnsi="Times New Roman"/>
          <w:sz w:val="24"/>
          <w:szCs w:val="24"/>
        </w:rPr>
        <w:t xml:space="preserve">the </w:t>
      </w:r>
      <w:r w:rsidRPr="00AB56A1">
        <w:rPr>
          <w:rFonts w:ascii="Times New Roman" w:hAnsi="Times New Roman"/>
          <w:sz w:val="24"/>
          <w:szCs w:val="24"/>
        </w:rPr>
        <w:t xml:space="preserve">UK. A very high difference in salary dynamics between the so-called ‘North’ (Germany, Austria, the Netherlands, Luxembourg) and ‘South’ and new </w:t>
      </w:r>
      <w:r w:rsidR="00CE68A4">
        <w:rPr>
          <w:rFonts w:ascii="Times New Roman" w:hAnsi="Times New Roman"/>
          <w:sz w:val="24"/>
          <w:szCs w:val="24"/>
        </w:rPr>
        <w:t>EU</w:t>
      </w:r>
      <w:r w:rsidR="00CE68A4" w:rsidRPr="00AB56A1">
        <w:rPr>
          <w:rFonts w:ascii="Times New Roman" w:hAnsi="Times New Roman"/>
          <w:sz w:val="24"/>
          <w:szCs w:val="24"/>
        </w:rPr>
        <w:t xml:space="preserve"> </w:t>
      </w:r>
      <w:r w:rsidRPr="00AB56A1">
        <w:rPr>
          <w:rFonts w:ascii="Times New Roman" w:hAnsi="Times New Roman"/>
          <w:sz w:val="24"/>
          <w:szCs w:val="24"/>
        </w:rPr>
        <w:t xml:space="preserve">member states is striking. The incomes increase very clearly in Lithuania, Latvia, Estonia and Bulgaria – in the light of </w:t>
      </w:r>
      <w:r w:rsidR="00CE68A4">
        <w:rPr>
          <w:rFonts w:ascii="Times New Roman" w:hAnsi="Times New Roman"/>
          <w:sz w:val="24"/>
          <w:szCs w:val="24"/>
        </w:rPr>
        <w:t xml:space="preserve">the </w:t>
      </w:r>
      <w:r w:rsidRPr="00AB56A1">
        <w:rPr>
          <w:rFonts w:ascii="Times New Roman" w:hAnsi="Times New Roman"/>
          <w:sz w:val="24"/>
          <w:szCs w:val="24"/>
        </w:rPr>
        <w:t>application of the pegged exchange rate, we can state that it is the salary dynamics expressed in euros.</w:t>
      </w:r>
    </w:p>
    <w:p w14:paraId="3401F3EA" w14:textId="77777777" w:rsidR="00AB05A6" w:rsidRPr="00AB05A6" w:rsidRDefault="00AB05A6" w:rsidP="00AB05A6">
      <w:pPr>
        <w:spacing w:after="0" w:line="360" w:lineRule="auto"/>
        <w:ind w:firstLine="708"/>
        <w:jc w:val="both"/>
        <w:rPr>
          <w:rFonts w:ascii="Times New Roman" w:hAnsi="Times New Roman"/>
          <w:sz w:val="24"/>
          <w:szCs w:val="24"/>
          <w:lang w:val="en-AU"/>
        </w:rPr>
      </w:pPr>
      <w:r w:rsidRPr="00AB05A6">
        <w:rPr>
          <w:rFonts w:ascii="Times New Roman" w:hAnsi="Times New Roman"/>
          <w:sz w:val="24"/>
          <w:szCs w:val="24"/>
          <w:lang w:val="en-AU"/>
        </w:rPr>
        <w:t xml:space="preserve">Economic results of the EU economy in the first decade of XXI century could provide evidences that in the EU real convergence process was taking place (EU </w:t>
      </w:r>
      <w:proofErr w:type="spellStart"/>
      <w:r w:rsidRPr="00AB05A6">
        <w:rPr>
          <w:rFonts w:ascii="Times New Roman" w:hAnsi="Times New Roman"/>
          <w:sz w:val="24"/>
          <w:szCs w:val="24"/>
          <w:lang w:val="en-AU"/>
        </w:rPr>
        <w:t>Commision</w:t>
      </w:r>
      <w:proofErr w:type="spellEnd"/>
      <w:r w:rsidRPr="00AB05A6">
        <w:rPr>
          <w:rFonts w:ascii="Times New Roman" w:hAnsi="Times New Roman"/>
          <w:sz w:val="24"/>
          <w:szCs w:val="24"/>
          <w:lang w:val="en-AU"/>
        </w:rPr>
        <w:t xml:space="preserve"> 2008). One could observe quite fast economic growth both in new member states and in poorer “old” members like Portugal, Spain and Greece. In the same time, in the Southern countries salaries were not lagging behind labour productivity what was happening in Germany or Austria </w:t>
      </w:r>
      <w:r w:rsidRPr="00AB05A6">
        <w:rPr>
          <w:rFonts w:ascii="Times New Roman" w:hAnsi="Times New Roman"/>
          <w:sz w:val="24"/>
          <w:szCs w:val="24"/>
          <w:lang w:val="en-AU"/>
        </w:rPr>
        <w:lastRenderedPageBreak/>
        <w:t>(Berger, Wolf 2017). This situation favours closing gap between incomes in North and South – gap between incomes is declining faster than gap between GDP pc. levels.</w:t>
      </w:r>
    </w:p>
    <w:p w14:paraId="49F71779" w14:textId="77777777" w:rsidR="00AB05A6" w:rsidRPr="00AB05A6" w:rsidRDefault="00AB05A6" w:rsidP="00AB05A6">
      <w:pPr>
        <w:spacing w:after="0" w:line="360" w:lineRule="auto"/>
        <w:ind w:firstLine="708"/>
        <w:jc w:val="both"/>
        <w:rPr>
          <w:rFonts w:ascii="Times New Roman" w:hAnsi="Times New Roman"/>
          <w:sz w:val="24"/>
          <w:szCs w:val="24"/>
          <w:lang w:val="en-AU"/>
        </w:rPr>
      </w:pPr>
      <w:r w:rsidRPr="00AB05A6">
        <w:rPr>
          <w:rFonts w:ascii="Times New Roman" w:hAnsi="Times New Roman"/>
          <w:sz w:val="24"/>
          <w:szCs w:val="24"/>
          <w:lang w:val="en-AU"/>
        </w:rPr>
        <w:t>The situation of the German economy requires an additional comment because this economy has an image of crisis-proof country which benefit from EU integration. In Germany, the difference between an increase in work efficiency and increase in salaries is exceptionally high - in the 2000s, the level of remuneration increased nominally at a rate of 1.1% annually, which meant a real decrease. The fact that the traditional German thriftiness did not lead to an increase in the household debt does not mean that no negative processes occur there, which are a threat to the macroeconomic stability:</w:t>
      </w:r>
    </w:p>
    <w:p w14:paraId="274C5107" w14:textId="77777777" w:rsidR="00AB05A6" w:rsidRPr="00AB05A6" w:rsidRDefault="00AB05A6" w:rsidP="00AB05A6">
      <w:pPr>
        <w:spacing w:after="0" w:line="360" w:lineRule="auto"/>
        <w:ind w:firstLine="708"/>
        <w:jc w:val="both"/>
        <w:rPr>
          <w:rFonts w:ascii="Times New Roman" w:hAnsi="Times New Roman"/>
          <w:sz w:val="24"/>
          <w:szCs w:val="24"/>
          <w:lang w:val="en-AU"/>
        </w:rPr>
      </w:pPr>
      <w:r w:rsidRPr="00AB05A6">
        <w:rPr>
          <w:rFonts w:ascii="Times New Roman" w:hAnsi="Times New Roman"/>
          <w:sz w:val="24"/>
          <w:szCs w:val="24"/>
          <w:lang w:val="en-AU"/>
        </w:rPr>
        <w:t>- pay stagnation and the resulting deficiency of the domestic demand, which means the necessity of keeping a surplus in the current account, which makes the economy dependent on the foreign demand – thus, it is not an accident that the recession in Germany in 2009 (-5,1%) was deeper than in the USA (-2,8%) place, which was the “centre” of the financial crisis,</w:t>
      </w:r>
    </w:p>
    <w:p w14:paraId="35CD4BBE" w14:textId="77777777" w:rsidR="00AB05A6" w:rsidRPr="00AB05A6" w:rsidRDefault="00AB05A6" w:rsidP="00AB05A6">
      <w:pPr>
        <w:spacing w:after="0" w:line="360" w:lineRule="auto"/>
        <w:ind w:firstLine="708"/>
        <w:jc w:val="both"/>
        <w:rPr>
          <w:rFonts w:ascii="Times New Roman" w:hAnsi="Times New Roman"/>
          <w:sz w:val="24"/>
          <w:szCs w:val="24"/>
          <w:lang w:val="en-AU"/>
        </w:rPr>
      </w:pPr>
      <w:r w:rsidRPr="00AB05A6">
        <w:rPr>
          <w:rFonts w:ascii="Times New Roman" w:hAnsi="Times New Roman"/>
          <w:sz w:val="24"/>
          <w:szCs w:val="24"/>
          <w:lang w:val="en-AU"/>
        </w:rPr>
        <w:t>- income inequity measured at the household level does remain at a stable level (Gini in is stable at the level of about 0,30), but a growing share of the national income is taken over by companies' profits, this, on the scale of the entire economy, the income structure is changing quickly to the disadvantage of households gaining income from labour – share of salaries in GDP declined from 75% in 2000 till 65% in 2015 (OECD data),</w:t>
      </w:r>
    </w:p>
    <w:p w14:paraId="1FDF7578" w14:textId="77777777" w:rsidR="00AB05A6" w:rsidRPr="00AB05A6" w:rsidRDefault="00AB05A6" w:rsidP="00AB05A6">
      <w:pPr>
        <w:spacing w:after="0" w:line="360" w:lineRule="auto"/>
        <w:ind w:firstLine="708"/>
        <w:jc w:val="both"/>
        <w:rPr>
          <w:rFonts w:ascii="Times New Roman" w:hAnsi="Times New Roman"/>
          <w:sz w:val="24"/>
          <w:szCs w:val="24"/>
          <w:lang w:val="en-AU"/>
        </w:rPr>
      </w:pPr>
      <w:r w:rsidRPr="00AB05A6">
        <w:rPr>
          <w:rFonts w:ascii="Times New Roman" w:hAnsi="Times New Roman"/>
          <w:sz w:val="24"/>
          <w:szCs w:val="24"/>
          <w:lang w:val="en-AU"/>
        </w:rPr>
        <w:t>- a high level and dynamics of the GDP does not translate into affluence of households – despite the highest per capita GDP level among the countries listed below, the median of the household effects is three times lower than in Spain and in Italy,  household assets that were more than twice as high were collected by households in France and in Greece  (EBC data),</w:t>
      </w:r>
    </w:p>
    <w:p w14:paraId="5AAA2DF8" w14:textId="7B845304" w:rsidR="00AB05A6" w:rsidRDefault="00AB05A6" w:rsidP="00AB05A6">
      <w:pPr>
        <w:spacing w:after="0" w:line="360" w:lineRule="auto"/>
        <w:ind w:firstLine="708"/>
        <w:jc w:val="both"/>
        <w:rPr>
          <w:rFonts w:ascii="Times New Roman" w:hAnsi="Times New Roman"/>
          <w:sz w:val="24"/>
          <w:szCs w:val="24"/>
          <w:lang w:val="en-AU"/>
        </w:rPr>
      </w:pPr>
      <w:r w:rsidRPr="00AB05A6">
        <w:rPr>
          <w:rFonts w:ascii="Times New Roman" w:hAnsi="Times New Roman"/>
          <w:sz w:val="24"/>
          <w:szCs w:val="24"/>
          <w:lang w:val="en-AU"/>
        </w:rPr>
        <w:t>- it is difficult to say that financial surpluses of companies invested on the global financial market increased the affluence of the German economy – in view of the collapse of financial markets, losses on foreign financial investments were 20% of the GDP (estimates by the DIW institute), which required support from the financial sector in the form of public funds at an amount of 12.8% of the GDP, i.e. on a scale larger than in the USA or UK, where taxpayers had to pay 4.8 and 6.7% of the GDP, respectively to rescue financial institutions (IMF data).</w:t>
      </w:r>
    </w:p>
    <w:p w14:paraId="1E71BA84" w14:textId="0C0D0963" w:rsidR="00D677DC" w:rsidRDefault="00D677DC" w:rsidP="00AB05A6">
      <w:pPr>
        <w:spacing w:after="0" w:line="360" w:lineRule="auto"/>
        <w:ind w:firstLine="708"/>
        <w:jc w:val="both"/>
        <w:rPr>
          <w:rFonts w:ascii="Times New Roman" w:hAnsi="Times New Roman"/>
          <w:sz w:val="24"/>
          <w:szCs w:val="24"/>
          <w:lang w:val="en-AU"/>
        </w:rPr>
      </w:pPr>
    </w:p>
    <w:p w14:paraId="6B2DCD9D" w14:textId="5735F825" w:rsidR="00D677DC" w:rsidRDefault="00D677DC" w:rsidP="00AB05A6">
      <w:pPr>
        <w:spacing w:after="0" w:line="360" w:lineRule="auto"/>
        <w:ind w:firstLine="708"/>
        <w:jc w:val="both"/>
        <w:rPr>
          <w:rFonts w:ascii="Times New Roman" w:hAnsi="Times New Roman"/>
          <w:sz w:val="24"/>
          <w:szCs w:val="24"/>
          <w:lang w:val="en-AU"/>
        </w:rPr>
      </w:pPr>
    </w:p>
    <w:p w14:paraId="4C7D83E0" w14:textId="0638F974" w:rsidR="00D677DC" w:rsidRDefault="00D677DC" w:rsidP="00AB05A6">
      <w:pPr>
        <w:spacing w:after="0" w:line="360" w:lineRule="auto"/>
        <w:ind w:firstLine="708"/>
        <w:jc w:val="both"/>
        <w:rPr>
          <w:rFonts w:ascii="Times New Roman" w:hAnsi="Times New Roman"/>
          <w:sz w:val="24"/>
          <w:szCs w:val="24"/>
          <w:lang w:val="en-AU"/>
        </w:rPr>
      </w:pPr>
    </w:p>
    <w:p w14:paraId="52C678C8" w14:textId="77777777" w:rsidR="00D677DC" w:rsidRPr="00AB05A6" w:rsidRDefault="00D677DC" w:rsidP="00AB05A6">
      <w:pPr>
        <w:spacing w:after="0" w:line="360" w:lineRule="auto"/>
        <w:ind w:firstLine="708"/>
        <w:jc w:val="both"/>
        <w:rPr>
          <w:rFonts w:ascii="Times New Roman" w:hAnsi="Times New Roman"/>
          <w:sz w:val="24"/>
          <w:szCs w:val="24"/>
          <w:lang w:val="en-AU"/>
        </w:rPr>
      </w:pPr>
    </w:p>
    <w:p w14:paraId="5FA0A780" w14:textId="77777777" w:rsidR="00AB05A6" w:rsidRPr="00AB56A1" w:rsidRDefault="00AB05A6" w:rsidP="00AB05A6">
      <w:pPr>
        <w:spacing w:after="0" w:line="360" w:lineRule="auto"/>
        <w:ind w:firstLine="708"/>
        <w:jc w:val="both"/>
        <w:rPr>
          <w:rFonts w:ascii="Times New Roman" w:eastAsia="Times New Roman" w:hAnsi="Times New Roman" w:cs="Times New Roman"/>
          <w:sz w:val="24"/>
          <w:szCs w:val="24"/>
        </w:rPr>
      </w:pPr>
    </w:p>
    <w:p w14:paraId="3796F05F" w14:textId="77777777" w:rsidR="000973C5" w:rsidRPr="00AB56A1" w:rsidRDefault="000973C5" w:rsidP="00AB05A6">
      <w:pPr>
        <w:spacing w:after="0" w:line="360" w:lineRule="auto"/>
        <w:ind w:firstLine="708"/>
        <w:jc w:val="both"/>
        <w:rPr>
          <w:rFonts w:ascii="Times New Roman" w:eastAsia="Times New Roman" w:hAnsi="Times New Roman" w:cs="Times New Roman"/>
          <w:sz w:val="24"/>
          <w:szCs w:val="24"/>
        </w:rPr>
      </w:pPr>
    </w:p>
    <w:p w14:paraId="34903725" w14:textId="23147FDA" w:rsidR="00C337AF" w:rsidRDefault="00C337AF" w:rsidP="00AB05A6">
      <w:pPr>
        <w:spacing w:after="0" w:line="360" w:lineRule="auto"/>
        <w:ind w:firstLine="708"/>
        <w:jc w:val="both"/>
        <w:rPr>
          <w:rFonts w:ascii="Times New Roman" w:hAnsi="Times New Roman"/>
          <w:b/>
          <w:sz w:val="24"/>
          <w:szCs w:val="24"/>
        </w:rPr>
      </w:pPr>
      <w:r w:rsidRPr="00AB56A1">
        <w:rPr>
          <w:rFonts w:ascii="Times New Roman" w:hAnsi="Times New Roman"/>
          <w:b/>
          <w:sz w:val="24"/>
          <w:szCs w:val="24"/>
        </w:rPr>
        <w:lastRenderedPageBreak/>
        <w:t>Table 5. A gap in GDP and salaries between Germany and the rest of EU countries</w:t>
      </w:r>
    </w:p>
    <w:p w14:paraId="01660C61" w14:textId="77777777" w:rsidR="00D677DC" w:rsidRDefault="00D677DC" w:rsidP="00AB05A6">
      <w:pPr>
        <w:spacing w:after="0" w:line="360" w:lineRule="auto"/>
        <w:ind w:firstLine="708"/>
        <w:jc w:val="both"/>
      </w:pPr>
      <w:r>
        <w:fldChar w:fldCharType="begin"/>
      </w:r>
      <w:r>
        <w:instrText xml:space="preserve"> LINK Excel.Sheet.12 "D:\\Raport\\tabelka_Niemcy_place.xlsx" "Arkusz1!W4K3:W32K9" \a \f 4 \h </w:instrText>
      </w:r>
      <w:r>
        <w:fldChar w:fldCharType="separate"/>
      </w:r>
    </w:p>
    <w:tbl>
      <w:tblPr>
        <w:tblW w:w="6120" w:type="dxa"/>
        <w:tblCellMar>
          <w:left w:w="70" w:type="dxa"/>
          <w:right w:w="70" w:type="dxa"/>
        </w:tblCellMar>
        <w:tblLook w:val="04A0" w:firstRow="1" w:lastRow="0" w:firstColumn="1" w:lastColumn="0" w:noHBand="0" w:noVBand="1"/>
      </w:tblPr>
      <w:tblGrid>
        <w:gridCol w:w="1540"/>
        <w:gridCol w:w="774"/>
        <w:gridCol w:w="773"/>
        <w:gridCol w:w="773"/>
        <w:gridCol w:w="780"/>
        <w:gridCol w:w="780"/>
        <w:gridCol w:w="700"/>
      </w:tblGrid>
      <w:tr w:rsidR="00D677DC" w:rsidRPr="00D677DC" w14:paraId="6B6644D4" w14:textId="77777777" w:rsidTr="00D677DC">
        <w:trPr>
          <w:trHeight w:val="290"/>
        </w:trPr>
        <w:tc>
          <w:tcPr>
            <w:tcW w:w="1540" w:type="dxa"/>
            <w:tcBorders>
              <w:top w:val="single" w:sz="4" w:space="0" w:color="auto"/>
              <w:left w:val="single" w:sz="4" w:space="0" w:color="auto"/>
              <w:bottom w:val="nil"/>
              <w:right w:val="nil"/>
            </w:tcBorders>
            <w:shd w:val="clear" w:color="auto" w:fill="auto"/>
            <w:noWrap/>
            <w:vAlign w:val="bottom"/>
            <w:hideMark/>
          </w:tcPr>
          <w:p w14:paraId="5C4A6500" w14:textId="6B35936F"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 </w:t>
            </w:r>
          </w:p>
        </w:tc>
        <w:tc>
          <w:tcPr>
            <w:tcW w:w="232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D1195B5" w14:textId="77777777" w:rsidR="00D677DC" w:rsidRPr="00D677DC" w:rsidRDefault="00D677DC" w:rsidP="00D677DC">
            <w:pPr>
              <w:spacing w:after="0" w:line="240" w:lineRule="auto"/>
              <w:jc w:val="center"/>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 xml:space="preserve">% of German GDP </w:t>
            </w:r>
            <w:proofErr w:type="spellStart"/>
            <w:r w:rsidRPr="00D677DC">
              <w:rPr>
                <w:rFonts w:ascii="Calibri" w:eastAsia="Times New Roman" w:hAnsi="Calibri" w:cs="Calibri"/>
                <w:b/>
                <w:bCs/>
                <w:color w:val="000000"/>
                <w:lang w:val="pl-PL" w:eastAsia="pl-PL"/>
              </w:rPr>
              <w:t>pc</w:t>
            </w:r>
            <w:proofErr w:type="spellEnd"/>
          </w:p>
        </w:tc>
        <w:tc>
          <w:tcPr>
            <w:tcW w:w="2260" w:type="dxa"/>
            <w:gridSpan w:val="3"/>
            <w:tcBorders>
              <w:top w:val="single" w:sz="4" w:space="0" w:color="auto"/>
              <w:left w:val="nil"/>
              <w:bottom w:val="nil"/>
              <w:right w:val="single" w:sz="4" w:space="0" w:color="000000"/>
            </w:tcBorders>
            <w:shd w:val="clear" w:color="auto" w:fill="auto"/>
            <w:noWrap/>
            <w:vAlign w:val="bottom"/>
            <w:hideMark/>
          </w:tcPr>
          <w:p w14:paraId="16A8F907" w14:textId="77777777" w:rsidR="00D677DC" w:rsidRPr="00D677DC" w:rsidRDefault="00D677DC" w:rsidP="00D677DC">
            <w:pPr>
              <w:spacing w:after="0" w:line="240" w:lineRule="auto"/>
              <w:jc w:val="center"/>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 xml:space="preserve">% German </w:t>
            </w:r>
            <w:proofErr w:type="spellStart"/>
            <w:r w:rsidRPr="00D677DC">
              <w:rPr>
                <w:rFonts w:ascii="Calibri" w:eastAsia="Times New Roman" w:hAnsi="Calibri" w:cs="Calibri"/>
                <w:b/>
                <w:bCs/>
                <w:color w:val="000000"/>
                <w:lang w:val="pl-PL" w:eastAsia="pl-PL"/>
              </w:rPr>
              <w:t>wages</w:t>
            </w:r>
            <w:proofErr w:type="spellEnd"/>
          </w:p>
        </w:tc>
      </w:tr>
      <w:tr w:rsidR="00D677DC" w:rsidRPr="00D677DC" w14:paraId="41043629" w14:textId="77777777" w:rsidTr="00D677DC">
        <w:trPr>
          <w:trHeight w:val="29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6B5733" w14:textId="77777777" w:rsidR="00D677DC" w:rsidRPr="00D677DC" w:rsidRDefault="00D677DC" w:rsidP="00D677DC">
            <w:pPr>
              <w:spacing w:after="0" w:line="240" w:lineRule="auto"/>
              <w:rPr>
                <w:rFonts w:ascii="Calibri" w:eastAsia="Times New Roman" w:hAnsi="Calibri" w:cs="Calibri"/>
                <w:b/>
                <w:bCs/>
                <w:color w:val="000000"/>
                <w:lang w:val="pl-PL" w:eastAsia="pl-PL"/>
              </w:rPr>
            </w:pPr>
            <w:proofErr w:type="spellStart"/>
            <w:r w:rsidRPr="00D677DC">
              <w:rPr>
                <w:rFonts w:ascii="Calibri" w:eastAsia="Times New Roman" w:hAnsi="Calibri" w:cs="Calibri"/>
                <w:b/>
                <w:bCs/>
                <w:color w:val="000000"/>
                <w:lang w:val="pl-PL" w:eastAsia="pl-PL"/>
              </w:rPr>
              <w:t>Cuntry</w:t>
            </w:r>
            <w:proofErr w:type="spellEnd"/>
            <w:r w:rsidRPr="00D677DC">
              <w:rPr>
                <w:rFonts w:ascii="Calibri" w:eastAsia="Times New Roman" w:hAnsi="Calibri" w:cs="Calibri"/>
                <w:b/>
                <w:bCs/>
                <w:color w:val="000000"/>
                <w:lang w:val="pl-PL" w:eastAsia="pl-PL"/>
              </w:rPr>
              <w:t xml:space="preserve">, </w:t>
            </w:r>
            <w:proofErr w:type="spellStart"/>
            <w:r w:rsidRPr="00D677DC">
              <w:rPr>
                <w:rFonts w:ascii="Calibri" w:eastAsia="Times New Roman" w:hAnsi="Calibri" w:cs="Calibri"/>
                <w:b/>
                <w:bCs/>
                <w:color w:val="000000"/>
                <w:lang w:val="pl-PL" w:eastAsia="pl-PL"/>
              </w:rPr>
              <w:t>year</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29FD25CE" w14:textId="77777777" w:rsidR="00D677DC" w:rsidRPr="00D677DC" w:rsidRDefault="00D677DC" w:rsidP="00D677DC">
            <w:pPr>
              <w:spacing w:after="0" w:line="240" w:lineRule="auto"/>
              <w:jc w:val="right"/>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2000</w:t>
            </w:r>
          </w:p>
        </w:tc>
        <w:tc>
          <w:tcPr>
            <w:tcW w:w="773" w:type="dxa"/>
            <w:tcBorders>
              <w:top w:val="nil"/>
              <w:left w:val="nil"/>
              <w:bottom w:val="single" w:sz="4" w:space="0" w:color="auto"/>
              <w:right w:val="single" w:sz="4" w:space="0" w:color="auto"/>
            </w:tcBorders>
            <w:shd w:val="clear" w:color="auto" w:fill="auto"/>
            <w:noWrap/>
            <w:vAlign w:val="bottom"/>
            <w:hideMark/>
          </w:tcPr>
          <w:p w14:paraId="6FA02759" w14:textId="77777777" w:rsidR="00D677DC" w:rsidRPr="00D677DC" w:rsidRDefault="00D677DC" w:rsidP="00D677DC">
            <w:pPr>
              <w:spacing w:after="0" w:line="240" w:lineRule="auto"/>
              <w:jc w:val="right"/>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2008</w:t>
            </w:r>
          </w:p>
        </w:tc>
        <w:tc>
          <w:tcPr>
            <w:tcW w:w="773" w:type="dxa"/>
            <w:tcBorders>
              <w:top w:val="nil"/>
              <w:left w:val="nil"/>
              <w:bottom w:val="single" w:sz="4" w:space="0" w:color="auto"/>
              <w:right w:val="single" w:sz="4" w:space="0" w:color="auto"/>
            </w:tcBorders>
            <w:shd w:val="clear" w:color="auto" w:fill="auto"/>
            <w:noWrap/>
            <w:vAlign w:val="bottom"/>
            <w:hideMark/>
          </w:tcPr>
          <w:p w14:paraId="6E128787" w14:textId="77777777" w:rsidR="00D677DC" w:rsidRPr="00D677DC" w:rsidRDefault="00D677DC" w:rsidP="00D677DC">
            <w:pPr>
              <w:spacing w:after="0" w:line="240" w:lineRule="auto"/>
              <w:jc w:val="right"/>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2016</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57E62C2B" w14:textId="77777777" w:rsidR="00D677DC" w:rsidRPr="00D677DC" w:rsidRDefault="00D677DC" w:rsidP="00D677DC">
            <w:pPr>
              <w:spacing w:after="0" w:line="240" w:lineRule="auto"/>
              <w:jc w:val="right"/>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2000</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14:paraId="34395DA4" w14:textId="77777777" w:rsidR="00D677DC" w:rsidRPr="00D677DC" w:rsidRDefault="00D677DC" w:rsidP="00D677DC">
            <w:pPr>
              <w:spacing w:after="0" w:line="240" w:lineRule="auto"/>
              <w:jc w:val="right"/>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2008</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7CA2543" w14:textId="77777777" w:rsidR="00D677DC" w:rsidRPr="00D677DC" w:rsidRDefault="00D677DC" w:rsidP="00D677DC">
            <w:pPr>
              <w:spacing w:after="0" w:line="240" w:lineRule="auto"/>
              <w:jc w:val="right"/>
              <w:rPr>
                <w:rFonts w:ascii="Calibri" w:eastAsia="Times New Roman" w:hAnsi="Calibri" w:cs="Calibri"/>
                <w:b/>
                <w:bCs/>
                <w:color w:val="000000"/>
                <w:lang w:val="pl-PL" w:eastAsia="pl-PL"/>
              </w:rPr>
            </w:pPr>
            <w:r w:rsidRPr="00D677DC">
              <w:rPr>
                <w:rFonts w:ascii="Calibri" w:eastAsia="Times New Roman" w:hAnsi="Calibri" w:cs="Calibri"/>
                <w:b/>
                <w:bCs/>
                <w:color w:val="000000"/>
                <w:lang w:val="pl-PL" w:eastAsia="pl-PL"/>
              </w:rPr>
              <w:t>2016</w:t>
            </w:r>
          </w:p>
        </w:tc>
      </w:tr>
      <w:tr w:rsidR="00D677DC" w:rsidRPr="00D677DC" w14:paraId="4265860E"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99E8CEC"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Belgium</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3291254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101,7</w:t>
            </w:r>
          </w:p>
        </w:tc>
        <w:tc>
          <w:tcPr>
            <w:tcW w:w="773" w:type="dxa"/>
            <w:tcBorders>
              <w:top w:val="nil"/>
              <w:left w:val="nil"/>
              <w:bottom w:val="single" w:sz="4" w:space="0" w:color="auto"/>
              <w:right w:val="single" w:sz="4" w:space="0" w:color="auto"/>
            </w:tcBorders>
            <w:shd w:val="clear" w:color="auto" w:fill="auto"/>
            <w:noWrap/>
            <w:vAlign w:val="bottom"/>
            <w:hideMark/>
          </w:tcPr>
          <w:p w14:paraId="054F218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98,4</w:t>
            </w:r>
          </w:p>
        </w:tc>
        <w:tc>
          <w:tcPr>
            <w:tcW w:w="773" w:type="dxa"/>
            <w:tcBorders>
              <w:top w:val="nil"/>
              <w:left w:val="nil"/>
              <w:bottom w:val="single" w:sz="4" w:space="0" w:color="auto"/>
              <w:right w:val="single" w:sz="4" w:space="0" w:color="auto"/>
            </w:tcBorders>
            <w:shd w:val="clear" w:color="auto" w:fill="auto"/>
            <w:noWrap/>
            <w:vAlign w:val="bottom"/>
            <w:hideMark/>
          </w:tcPr>
          <w:p w14:paraId="47C7107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95</w:t>
            </w:r>
          </w:p>
        </w:tc>
        <w:tc>
          <w:tcPr>
            <w:tcW w:w="780" w:type="dxa"/>
            <w:tcBorders>
              <w:top w:val="nil"/>
              <w:left w:val="nil"/>
              <w:bottom w:val="single" w:sz="4" w:space="0" w:color="auto"/>
              <w:right w:val="single" w:sz="4" w:space="0" w:color="auto"/>
            </w:tcBorders>
            <w:shd w:val="clear" w:color="auto" w:fill="auto"/>
            <w:noWrap/>
            <w:vAlign w:val="bottom"/>
            <w:hideMark/>
          </w:tcPr>
          <w:p w14:paraId="3AD0655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89,1</w:t>
            </w:r>
          </w:p>
        </w:tc>
        <w:tc>
          <w:tcPr>
            <w:tcW w:w="780" w:type="dxa"/>
            <w:tcBorders>
              <w:top w:val="nil"/>
              <w:left w:val="nil"/>
              <w:bottom w:val="single" w:sz="4" w:space="0" w:color="auto"/>
              <w:right w:val="single" w:sz="4" w:space="0" w:color="auto"/>
            </w:tcBorders>
            <w:shd w:val="clear" w:color="auto" w:fill="auto"/>
            <w:noWrap/>
            <w:vAlign w:val="bottom"/>
            <w:hideMark/>
          </w:tcPr>
          <w:p w14:paraId="67CBF9C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92,1</w:t>
            </w:r>
          </w:p>
        </w:tc>
        <w:tc>
          <w:tcPr>
            <w:tcW w:w="700" w:type="dxa"/>
            <w:tcBorders>
              <w:top w:val="nil"/>
              <w:left w:val="nil"/>
              <w:bottom w:val="single" w:sz="4" w:space="0" w:color="auto"/>
              <w:right w:val="single" w:sz="4" w:space="0" w:color="auto"/>
            </w:tcBorders>
            <w:shd w:val="clear" w:color="auto" w:fill="auto"/>
            <w:noWrap/>
            <w:vAlign w:val="bottom"/>
            <w:hideMark/>
          </w:tcPr>
          <w:p w14:paraId="173AB60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82,4</w:t>
            </w:r>
          </w:p>
        </w:tc>
      </w:tr>
      <w:tr w:rsidR="00D677DC" w:rsidRPr="00D677DC" w14:paraId="3426C6EB"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D48F51"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Bulgaria</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348AF42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23,2</w:t>
            </w:r>
          </w:p>
        </w:tc>
        <w:tc>
          <w:tcPr>
            <w:tcW w:w="773" w:type="dxa"/>
            <w:tcBorders>
              <w:top w:val="nil"/>
              <w:left w:val="nil"/>
              <w:bottom w:val="single" w:sz="4" w:space="0" w:color="auto"/>
              <w:right w:val="single" w:sz="4" w:space="0" w:color="auto"/>
            </w:tcBorders>
            <w:shd w:val="clear" w:color="auto" w:fill="auto"/>
            <w:noWrap/>
            <w:vAlign w:val="bottom"/>
            <w:hideMark/>
          </w:tcPr>
          <w:p w14:paraId="51C5ABA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36,9</w:t>
            </w:r>
          </w:p>
        </w:tc>
        <w:tc>
          <w:tcPr>
            <w:tcW w:w="773" w:type="dxa"/>
            <w:tcBorders>
              <w:top w:val="nil"/>
              <w:left w:val="nil"/>
              <w:bottom w:val="single" w:sz="4" w:space="0" w:color="auto"/>
              <w:right w:val="single" w:sz="4" w:space="0" w:color="auto"/>
            </w:tcBorders>
            <w:shd w:val="clear" w:color="auto" w:fill="auto"/>
            <w:noWrap/>
            <w:vAlign w:val="bottom"/>
            <w:hideMark/>
          </w:tcPr>
          <w:p w14:paraId="2756E89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39,4</w:t>
            </w:r>
          </w:p>
        </w:tc>
        <w:tc>
          <w:tcPr>
            <w:tcW w:w="780" w:type="dxa"/>
            <w:tcBorders>
              <w:top w:val="nil"/>
              <w:left w:val="nil"/>
              <w:bottom w:val="single" w:sz="4" w:space="0" w:color="auto"/>
              <w:right w:val="single" w:sz="4" w:space="0" w:color="auto"/>
            </w:tcBorders>
            <w:shd w:val="clear" w:color="auto" w:fill="auto"/>
            <w:noWrap/>
            <w:vAlign w:val="bottom"/>
            <w:hideMark/>
          </w:tcPr>
          <w:p w14:paraId="4C25577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14,8</w:t>
            </w:r>
          </w:p>
        </w:tc>
        <w:tc>
          <w:tcPr>
            <w:tcW w:w="780" w:type="dxa"/>
            <w:tcBorders>
              <w:top w:val="nil"/>
              <w:left w:val="nil"/>
              <w:bottom w:val="single" w:sz="4" w:space="0" w:color="auto"/>
              <w:right w:val="single" w:sz="4" w:space="0" w:color="auto"/>
            </w:tcBorders>
            <w:shd w:val="clear" w:color="auto" w:fill="auto"/>
            <w:noWrap/>
            <w:vAlign w:val="bottom"/>
            <w:hideMark/>
          </w:tcPr>
          <w:p w14:paraId="4F99916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25,9</w:t>
            </w:r>
          </w:p>
        </w:tc>
        <w:tc>
          <w:tcPr>
            <w:tcW w:w="700" w:type="dxa"/>
            <w:tcBorders>
              <w:top w:val="nil"/>
              <w:left w:val="nil"/>
              <w:bottom w:val="single" w:sz="4" w:space="0" w:color="auto"/>
              <w:right w:val="single" w:sz="4" w:space="0" w:color="auto"/>
            </w:tcBorders>
            <w:shd w:val="clear" w:color="auto" w:fill="auto"/>
            <w:noWrap/>
            <w:vAlign w:val="bottom"/>
            <w:hideMark/>
          </w:tcPr>
          <w:p w14:paraId="516BEB1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34</w:t>
            </w:r>
          </w:p>
        </w:tc>
      </w:tr>
      <w:tr w:rsidR="00D677DC" w:rsidRPr="00D677DC" w14:paraId="2374C011"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EA9FEFC"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Czech Republic</w:t>
            </w:r>
          </w:p>
        </w:tc>
        <w:tc>
          <w:tcPr>
            <w:tcW w:w="774" w:type="dxa"/>
            <w:tcBorders>
              <w:top w:val="nil"/>
              <w:left w:val="nil"/>
              <w:bottom w:val="single" w:sz="4" w:space="0" w:color="auto"/>
              <w:right w:val="single" w:sz="4" w:space="0" w:color="auto"/>
            </w:tcBorders>
            <w:shd w:val="clear" w:color="auto" w:fill="auto"/>
            <w:noWrap/>
            <w:vAlign w:val="bottom"/>
            <w:hideMark/>
          </w:tcPr>
          <w:p w14:paraId="6AA7ECA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58,9</w:t>
            </w:r>
          </w:p>
        </w:tc>
        <w:tc>
          <w:tcPr>
            <w:tcW w:w="773" w:type="dxa"/>
            <w:tcBorders>
              <w:top w:val="nil"/>
              <w:left w:val="nil"/>
              <w:bottom w:val="single" w:sz="4" w:space="0" w:color="auto"/>
              <w:right w:val="single" w:sz="4" w:space="0" w:color="auto"/>
            </w:tcBorders>
            <w:shd w:val="clear" w:color="auto" w:fill="auto"/>
            <w:noWrap/>
            <w:vAlign w:val="bottom"/>
            <w:hideMark/>
          </w:tcPr>
          <w:p w14:paraId="472F8E9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71,6</w:t>
            </w:r>
          </w:p>
        </w:tc>
        <w:tc>
          <w:tcPr>
            <w:tcW w:w="773" w:type="dxa"/>
            <w:tcBorders>
              <w:top w:val="nil"/>
              <w:left w:val="nil"/>
              <w:bottom w:val="single" w:sz="4" w:space="0" w:color="auto"/>
              <w:right w:val="single" w:sz="4" w:space="0" w:color="auto"/>
            </w:tcBorders>
            <w:shd w:val="clear" w:color="auto" w:fill="auto"/>
            <w:noWrap/>
            <w:vAlign w:val="bottom"/>
            <w:hideMark/>
          </w:tcPr>
          <w:p w14:paraId="067E770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71,4</w:t>
            </w:r>
          </w:p>
        </w:tc>
        <w:tc>
          <w:tcPr>
            <w:tcW w:w="780" w:type="dxa"/>
            <w:tcBorders>
              <w:top w:val="nil"/>
              <w:left w:val="nil"/>
              <w:bottom w:val="single" w:sz="4" w:space="0" w:color="auto"/>
              <w:right w:val="single" w:sz="4" w:space="0" w:color="auto"/>
            </w:tcBorders>
            <w:shd w:val="clear" w:color="auto" w:fill="auto"/>
            <w:noWrap/>
            <w:vAlign w:val="bottom"/>
            <w:hideMark/>
          </w:tcPr>
          <w:p w14:paraId="3CA9DDA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40,6</w:t>
            </w:r>
          </w:p>
        </w:tc>
        <w:tc>
          <w:tcPr>
            <w:tcW w:w="780" w:type="dxa"/>
            <w:tcBorders>
              <w:top w:val="nil"/>
              <w:left w:val="nil"/>
              <w:bottom w:val="single" w:sz="4" w:space="0" w:color="auto"/>
              <w:right w:val="single" w:sz="4" w:space="0" w:color="auto"/>
            </w:tcBorders>
            <w:shd w:val="clear" w:color="auto" w:fill="auto"/>
            <w:noWrap/>
            <w:vAlign w:val="bottom"/>
            <w:hideMark/>
          </w:tcPr>
          <w:p w14:paraId="5BAA194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55,5</w:t>
            </w:r>
          </w:p>
        </w:tc>
        <w:tc>
          <w:tcPr>
            <w:tcW w:w="700" w:type="dxa"/>
            <w:tcBorders>
              <w:top w:val="nil"/>
              <w:left w:val="nil"/>
              <w:bottom w:val="single" w:sz="4" w:space="0" w:color="auto"/>
              <w:right w:val="single" w:sz="4" w:space="0" w:color="auto"/>
            </w:tcBorders>
            <w:shd w:val="clear" w:color="auto" w:fill="auto"/>
            <w:noWrap/>
            <w:vAlign w:val="bottom"/>
            <w:hideMark/>
          </w:tcPr>
          <w:p w14:paraId="2798940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52,7</w:t>
            </w:r>
          </w:p>
        </w:tc>
      </w:tr>
      <w:tr w:rsidR="00D677DC" w:rsidRPr="00D677DC" w14:paraId="1F932CFE"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F923FE"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Denmark</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00E69C9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104,1</w:t>
            </w:r>
          </w:p>
        </w:tc>
        <w:tc>
          <w:tcPr>
            <w:tcW w:w="773" w:type="dxa"/>
            <w:tcBorders>
              <w:top w:val="nil"/>
              <w:left w:val="nil"/>
              <w:bottom w:val="single" w:sz="4" w:space="0" w:color="auto"/>
              <w:right w:val="single" w:sz="4" w:space="0" w:color="auto"/>
            </w:tcBorders>
            <w:shd w:val="clear" w:color="auto" w:fill="auto"/>
            <w:noWrap/>
            <w:vAlign w:val="bottom"/>
            <w:hideMark/>
          </w:tcPr>
          <w:p w14:paraId="2A132EF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106,5</w:t>
            </w:r>
          </w:p>
        </w:tc>
        <w:tc>
          <w:tcPr>
            <w:tcW w:w="773" w:type="dxa"/>
            <w:tcBorders>
              <w:top w:val="nil"/>
              <w:left w:val="nil"/>
              <w:bottom w:val="single" w:sz="4" w:space="0" w:color="auto"/>
              <w:right w:val="single" w:sz="4" w:space="0" w:color="auto"/>
            </w:tcBorders>
            <w:shd w:val="clear" w:color="auto" w:fill="auto"/>
            <w:noWrap/>
            <w:vAlign w:val="bottom"/>
            <w:hideMark/>
          </w:tcPr>
          <w:p w14:paraId="3CFDA43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101,4</w:t>
            </w:r>
          </w:p>
        </w:tc>
        <w:tc>
          <w:tcPr>
            <w:tcW w:w="780" w:type="dxa"/>
            <w:tcBorders>
              <w:top w:val="nil"/>
              <w:left w:val="nil"/>
              <w:bottom w:val="single" w:sz="4" w:space="0" w:color="auto"/>
              <w:right w:val="single" w:sz="4" w:space="0" w:color="auto"/>
            </w:tcBorders>
            <w:shd w:val="clear" w:color="auto" w:fill="auto"/>
            <w:noWrap/>
            <w:vAlign w:val="bottom"/>
            <w:hideMark/>
          </w:tcPr>
          <w:p w14:paraId="6991488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115,3</w:t>
            </w:r>
          </w:p>
        </w:tc>
        <w:tc>
          <w:tcPr>
            <w:tcW w:w="780" w:type="dxa"/>
            <w:tcBorders>
              <w:top w:val="nil"/>
              <w:left w:val="nil"/>
              <w:bottom w:val="single" w:sz="4" w:space="0" w:color="auto"/>
              <w:right w:val="single" w:sz="4" w:space="0" w:color="auto"/>
            </w:tcBorders>
            <w:shd w:val="clear" w:color="auto" w:fill="auto"/>
            <w:noWrap/>
            <w:vAlign w:val="bottom"/>
            <w:hideMark/>
          </w:tcPr>
          <w:p w14:paraId="0597445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130,9</w:t>
            </w:r>
          </w:p>
        </w:tc>
        <w:tc>
          <w:tcPr>
            <w:tcW w:w="700" w:type="dxa"/>
            <w:tcBorders>
              <w:top w:val="nil"/>
              <w:left w:val="nil"/>
              <w:bottom w:val="single" w:sz="4" w:space="0" w:color="auto"/>
              <w:right w:val="single" w:sz="4" w:space="0" w:color="auto"/>
            </w:tcBorders>
            <w:shd w:val="clear" w:color="auto" w:fill="auto"/>
            <w:noWrap/>
            <w:vAlign w:val="bottom"/>
            <w:hideMark/>
          </w:tcPr>
          <w:p w14:paraId="1725C8C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118</w:t>
            </w:r>
          </w:p>
        </w:tc>
      </w:tr>
      <w:tr w:rsidR="00D677DC" w:rsidRPr="00D677DC" w14:paraId="028B0DFA"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C31CB70"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Estonia</w:t>
            </w:r>
          </w:p>
        </w:tc>
        <w:tc>
          <w:tcPr>
            <w:tcW w:w="774" w:type="dxa"/>
            <w:tcBorders>
              <w:top w:val="nil"/>
              <w:left w:val="nil"/>
              <w:bottom w:val="single" w:sz="4" w:space="0" w:color="auto"/>
              <w:right w:val="single" w:sz="4" w:space="0" w:color="auto"/>
            </w:tcBorders>
            <w:shd w:val="clear" w:color="auto" w:fill="auto"/>
            <w:noWrap/>
            <w:vAlign w:val="bottom"/>
            <w:hideMark/>
          </w:tcPr>
          <w:p w14:paraId="4D56663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34</w:t>
            </w:r>
          </w:p>
        </w:tc>
        <w:tc>
          <w:tcPr>
            <w:tcW w:w="773" w:type="dxa"/>
            <w:tcBorders>
              <w:top w:val="nil"/>
              <w:left w:val="nil"/>
              <w:bottom w:val="single" w:sz="4" w:space="0" w:color="auto"/>
              <w:right w:val="single" w:sz="4" w:space="0" w:color="auto"/>
            </w:tcBorders>
            <w:shd w:val="clear" w:color="auto" w:fill="auto"/>
            <w:noWrap/>
            <w:vAlign w:val="bottom"/>
            <w:hideMark/>
          </w:tcPr>
          <w:p w14:paraId="069D61B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58,5</w:t>
            </w:r>
          </w:p>
        </w:tc>
        <w:tc>
          <w:tcPr>
            <w:tcW w:w="773" w:type="dxa"/>
            <w:tcBorders>
              <w:top w:val="nil"/>
              <w:left w:val="nil"/>
              <w:bottom w:val="single" w:sz="4" w:space="0" w:color="auto"/>
              <w:right w:val="single" w:sz="4" w:space="0" w:color="auto"/>
            </w:tcBorders>
            <w:shd w:val="clear" w:color="auto" w:fill="auto"/>
            <w:noWrap/>
            <w:vAlign w:val="bottom"/>
            <w:hideMark/>
          </w:tcPr>
          <w:p w14:paraId="5EBA99B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60,3</w:t>
            </w:r>
          </w:p>
        </w:tc>
        <w:tc>
          <w:tcPr>
            <w:tcW w:w="780" w:type="dxa"/>
            <w:tcBorders>
              <w:top w:val="nil"/>
              <w:left w:val="nil"/>
              <w:bottom w:val="single" w:sz="4" w:space="0" w:color="auto"/>
              <w:right w:val="single" w:sz="4" w:space="0" w:color="auto"/>
            </w:tcBorders>
            <w:shd w:val="clear" w:color="auto" w:fill="auto"/>
            <w:noWrap/>
            <w:vAlign w:val="bottom"/>
            <w:hideMark/>
          </w:tcPr>
          <w:p w14:paraId="37A82BCB"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27,7</w:t>
            </w:r>
          </w:p>
        </w:tc>
        <w:tc>
          <w:tcPr>
            <w:tcW w:w="780" w:type="dxa"/>
            <w:tcBorders>
              <w:top w:val="nil"/>
              <w:left w:val="nil"/>
              <w:bottom w:val="single" w:sz="4" w:space="0" w:color="auto"/>
              <w:right w:val="single" w:sz="4" w:space="0" w:color="auto"/>
            </w:tcBorders>
            <w:shd w:val="clear" w:color="auto" w:fill="auto"/>
            <w:noWrap/>
            <w:vAlign w:val="bottom"/>
            <w:hideMark/>
          </w:tcPr>
          <w:p w14:paraId="49A4DF91"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55,8</w:t>
            </w:r>
          </w:p>
        </w:tc>
        <w:tc>
          <w:tcPr>
            <w:tcW w:w="700" w:type="dxa"/>
            <w:tcBorders>
              <w:top w:val="nil"/>
              <w:left w:val="nil"/>
              <w:bottom w:val="single" w:sz="4" w:space="0" w:color="auto"/>
              <w:right w:val="single" w:sz="4" w:space="0" w:color="auto"/>
            </w:tcBorders>
            <w:shd w:val="clear" w:color="auto" w:fill="auto"/>
            <w:noWrap/>
            <w:vAlign w:val="bottom"/>
            <w:hideMark/>
          </w:tcPr>
          <w:p w14:paraId="552188D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53</w:t>
            </w:r>
          </w:p>
        </w:tc>
      </w:tr>
      <w:tr w:rsidR="00D677DC" w:rsidRPr="00D677DC" w14:paraId="19815F3A"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BA3E4F2"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Ireland</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4992E97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109,5</w:t>
            </w:r>
          </w:p>
        </w:tc>
        <w:tc>
          <w:tcPr>
            <w:tcW w:w="773" w:type="dxa"/>
            <w:tcBorders>
              <w:top w:val="nil"/>
              <w:left w:val="nil"/>
              <w:bottom w:val="single" w:sz="4" w:space="0" w:color="auto"/>
              <w:right w:val="single" w:sz="4" w:space="0" w:color="auto"/>
            </w:tcBorders>
            <w:shd w:val="clear" w:color="auto" w:fill="auto"/>
            <w:noWrap/>
            <w:vAlign w:val="bottom"/>
            <w:hideMark/>
          </w:tcPr>
          <w:p w14:paraId="2412502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114,1</w:t>
            </w:r>
          </w:p>
        </w:tc>
        <w:tc>
          <w:tcPr>
            <w:tcW w:w="773" w:type="dxa"/>
            <w:tcBorders>
              <w:top w:val="nil"/>
              <w:left w:val="nil"/>
              <w:bottom w:val="single" w:sz="4" w:space="0" w:color="auto"/>
              <w:right w:val="single" w:sz="4" w:space="0" w:color="auto"/>
            </w:tcBorders>
            <w:shd w:val="clear" w:color="auto" w:fill="auto"/>
            <w:noWrap/>
            <w:vAlign w:val="bottom"/>
            <w:hideMark/>
          </w:tcPr>
          <w:p w14:paraId="6D9968D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147,8</w:t>
            </w:r>
          </w:p>
        </w:tc>
        <w:tc>
          <w:tcPr>
            <w:tcW w:w="780" w:type="dxa"/>
            <w:tcBorders>
              <w:top w:val="nil"/>
              <w:left w:val="nil"/>
              <w:bottom w:val="single" w:sz="4" w:space="0" w:color="auto"/>
              <w:right w:val="single" w:sz="4" w:space="0" w:color="auto"/>
            </w:tcBorders>
            <w:shd w:val="clear" w:color="auto" w:fill="auto"/>
            <w:noWrap/>
            <w:vAlign w:val="bottom"/>
            <w:hideMark/>
          </w:tcPr>
          <w:p w14:paraId="3157F24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93,2</w:t>
            </w:r>
          </w:p>
        </w:tc>
        <w:tc>
          <w:tcPr>
            <w:tcW w:w="780" w:type="dxa"/>
            <w:tcBorders>
              <w:top w:val="nil"/>
              <w:left w:val="nil"/>
              <w:bottom w:val="single" w:sz="4" w:space="0" w:color="auto"/>
              <w:right w:val="single" w:sz="4" w:space="0" w:color="auto"/>
            </w:tcBorders>
            <w:shd w:val="clear" w:color="auto" w:fill="auto"/>
            <w:noWrap/>
            <w:vAlign w:val="bottom"/>
            <w:hideMark/>
          </w:tcPr>
          <w:p w14:paraId="15F7208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116,7</w:t>
            </w:r>
          </w:p>
        </w:tc>
        <w:tc>
          <w:tcPr>
            <w:tcW w:w="700" w:type="dxa"/>
            <w:tcBorders>
              <w:top w:val="nil"/>
              <w:left w:val="nil"/>
              <w:bottom w:val="single" w:sz="4" w:space="0" w:color="auto"/>
              <w:right w:val="single" w:sz="4" w:space="0" w:color="auto"/>
            </w:tcBorders>
            <w:shd w:val="clear" w:color="auto" w:fill="auto"/>
            <w:noWrap/>
            <w:vAlign w:val="bottom"/>
            <w:hideMark/>
          </w:tcPr>
          <w:p w14:paraId="44A8C45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88,1</w:t>
            </w:r>
          </w:p>
        </w:tc>
      </w:tr>
      <w:tr w:rsidR="00D677DC" w:rsidRPr="00D677DC" w14:paraId="0448A572"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2F0632"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Greece</w:t>
            </w:r>
          </w:p>
        </w:tc>
        <w:tc>
          <w:tcPr>
            <w:tcW w:w="774" w:type="dxa"/>
            <w:tcBorders>
              <w:top w:val="nil"/>
              <w:left w:val="nil"/>
              <w:bottom w:val="single" w:sz="4" w:space="0" w:color="auto"/>
              <w:right w:val="single" w:sz="4" w:space="0" w:color="auto"/>
            </w:tcBorders>
            <w:shd w:val="clear" w:color="auto" w:fill="auto"/>
            <w:noWrap/>
            <w:vAlign w:val="bottom"/>
            <w:hideMark/>
          </w:tcPr>
          <w:p w14:paraId="0E0D62A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71</w:t>
            </w:r>
          </w:p>
        </w:tc>
        <w:tc>
          <w:tcPr>
            <w:tcW w:w="773" w:type="dxa"/>
            <w:tcBorders>
              <w:top w:val="nil"/>
              <w:left w:val="nil"/>
              <w:bottom w:val="single" w:sz="4" w:space="0" w:color="auto"/>
              <w:right w:val="single" w:sz="4" w:space="0" w:color="auto"/>
            </w:tcBorders>
            <w:shd w:val="clear" w:color="auto" w:fill="auto"/>
            <w:noWrap/>
            <w:vAlign w:val="bottom"/>
            <w:hideMark/>
          </w:tcPr>
          <w:p w14:paraId="328DE31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79,7</w:t>
            </w:r>
          </w:p>
        </w:tc>
        <w:tc>
          <w:tcPr>
            <w:tcW w:w="773" w:type="dxa"/>
            <w:tcBorders>
              <w:top w:val="nil"/>
              <w:left w:val="nil"/>
              <w:bottom w:val="single" w:sz="4" w:space="0" w:color="auto"/>
              <w:right w:val="single" w:sz="4" w:space="0" w:color="auto"/>
            </w:tcBorders>
            <w:shd w:val="clear" w:color="auto" w:fill="auto"/>
            <w:noWrap/>
            <w:vAlign w:val="bottom"/>
            <w:hideMark/>
          </w:tcPr>
          <w:p w14:paraId="084D444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53,6</w:t>
            </w:r>
          </w:p>
        </w:tc>
        <w:tc>
          <w:tcPr>
            <w:tcW w:w="780" w:type="dxa"/>
            <w:tcBorders>
              <w:top w:val="nil"/>
              <w:left w:val="nil"/>
              <w:bottom w:val="single" w:sz="4" w:space="0" w:color="auto"/>
              <w:right w:val="single" w:sz="4" w:space="0" w:color="auto"/>
            </w:tcBorders>
            <w:shd w:val="clear" w:color="auto" w:fill="auto"/>
            <w:noWrap/>
            <w:vAlign w:val="bottom"/>
            <w:hideMark/>
          </w:tcPr>
          <w:p w14:paraId="1740C1EB"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41,3</w:t>
            </w:r>
          </w:p>
        </w:tc>
        <w:tc>
          <w:tcPr>
            <w:tcW w:w="780" w:type="dxa"/>
            <w:tcBorders>
              <w:top w:val="nil"/>
              <w:left w:val="nil"/>
              <w:bottom w:val="single" w:sz="4" w:space="0" w:color="auto"/>
              <w:right w:val="single" w:sz="4" w:space="0" w:color="auto"/>
            </w:tcBorders>
            <w:shd w:val="clear" w:color="auto" w:fill="auto"/>
            <w:noWrap/>
            <w:vAlign w:val="bottom"/>
            <w:hideMark/>
          </w:tcPr>
          <w:p w14:paraId="2A5C065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54</w:t>
            </w:r>
          </w:p>
        </w:tc>
        <w:tc>
          <w:tcPr>
            <w:tcW w:w="700" w:type="dxa"/>
            <w:tcBorders>
              <w:top w:val="nil"/>
              <w:left w:val="nil"/>
              <w:bottom w:val="single" w:sz="4" w:space="0" w:color="auto"/>
              <w:right w:val="single" w:sz="4" w:space="0" w:color="auto"/>
            </w:tcBorders>
            <w:shd w:val="clear" w:color="auto" w:fill="auto"/>
            <w:noWrap/>
            <w:vAlign w:val="bottom"/>
            <w:hideMark/>
          </w:tcPr>
          <w:p w14:paraId="276C641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32,6</w:t>
            </w:r>
          </w:p>
        </w:tc>
      </w:tr>
      <w:tr w:rsidR="00D677DC" w:rsidRPr="00D677DC" w14:paraId="10473DF6"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1FFA6C8"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Spain</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77AE327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78,4</w:t>
            </w:r>
          </w:p>
        </w:tc>
        <w:tc>
          <w:tcPr>
            <w:tcW w:w="773" w:type="dxa"/>
            <w:tcBorders>
              <w:top w:val="nil"/>
              <w:left w:val="nil"/>
              <w:bottom w:val="single" w:sz="4" w:space="0" w:color="auto"/>
              <w:right w:val="single" w:sz="4" w:space="0" w:color="auto"/>
            </w:tcBorders>
            <w:shd w:val="clear" w:color="auto" w:fill="auto"/>
            <w:noWrap/>
            <w:vAlign w:val="bottom"/>
            <w:hideMark/>
          </w:tcPr>
          <w:p w14:paraId="70D35AD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86,3</w:t>
            </w:r>
          </w:p>
        </w:tc>
        <w:tc>
          <w:tcPr>
            <w:tcW w:w="773" w:type="dxa"/>
            <w:tcBorders>
              <w:top w:val="nil"/>
              <w:left w:val="nil"/>
              <w:bottom w:val="single" w:sz="4" w:space="0" w:color="auto"/>
              <w:right w:val="single" w:sz="4" w:space="0" w:color="auto"/>
            </w:tcBorders>
            <w:shd w:val="clear" w:color="auto" w:fill="auto"/>
            <w:noWrap/>
            <w:vAlign w:val="bottom"/>
            <w:hideMark/>
          </w:tcPr>
          <w:p w14:paraId="7750F94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74,2</w:t>
            </w:r>
          </w:p>
        </w:tc>
        <w:tc>
          <w:tcPr>
            <w:tcW w:w="780" w:type="dxa"/>
            <w:tcBorders>
              <w:top w:val="nil"/>
              <w:left w:val="nil"/>
              <w:bottom w:val="single" w:sz="4" w:space="0" w:color="auto"/>
              <w:right w:val="single" w:sz="4" w:space="0" w:color="auto"/>
            </w:tcBorders>
            <w:shd w:val="clear" w:color="auto" w:fill="auto"/>
            <w:noWrap/>
            <w:vAlign w:val="bottom"/>
            <w:hideMark/>
          </w:tcPr>
          <w:p w14:paraId="7878909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71,2</w:t>
            </w:r>
          </w:p>
        </w:tc>
        <w:tc>
          <w:tcPr>
            <w:tcW w:w="780" w:type="dxa"/>
            <w:tcBorders>
              <w:top w:val="nil"/>
              <w:left w:val="nil"/>
              <w:bottom w:val="single" w:sz="4" w:space="0" w:color="auto"/>
              <w:right w:val="single" w:sz="4" w:space="0" w:color="auto"/>
            </w:tcBorders>
            <w:shd w:val="clear" w:color="auto" w:fill="auto"/>
            <w:noWrap/>
            <w:vAlign w:val="bottom"/>
            <w:hideMark/>
          </w:tcPr>
          <w:p w14:paraId="444F71FB"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86,9</w:t>
            </w:r>
          </w:p>
        </w:tc>
        <w:tc>
          <w:tcPr>
            <w:tcW w:w="700" w:type="dxa"/>
            <w:tcBorders>
              <w:top w:val="nil"/>
              <w:left w:val="nil"/>
              <w:bottom w:val="single" w:sz="4" w:space="0" w:color="auto"/>
              <w:right w:val="single" w:sz="4" w:space="0" w:color="auto"/>
            </w:tcBorders>
            <w:shd w:val="clear" w:color="auto" w:fill="auto"/>
            <w:noWrap/>
            <w:vAlign w:val="bottom"/>
            <w:hideMark/>
          </w:tcPr>
          <w:p w14:paraId="36D4798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67,6</w:t>
            </w:r>
          </w:p>
        </w:tc>
      </w:tr>
      <w:tr w:rsidR="00D677DC" w:rsidRPr="00D677DC" w14:paraId="0CD4890D"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820BAE5"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France</w:t>
            </w:r>
          </w:p>
        </w:tc>
        <w:tc>
          <w:tcPr>
            <w:tcW w:w="774" w:type="dxa"/>
            <w:tcBorders>
              <w:top w:val="nil"/>
              <w:left w:val="nil"/>
              <w:bottom w:val="single" w:sz="4" w:space="0" w:color="auto"/>
              <w:right w:val="single" w:sz="4" w:space="0" w:color="auto"/>
            </w:tcBorders>
            <w:shd w:val="clear" w:color="auto" w:fill="auto"/>
            <w:noWrap/>
            <w:vAlign w:val="bottom"/>
            <w:hideMark/>
          </w:tcPr>
          <w:p w14:paraId="3AAEA35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95,4</w:t>
            </w:r>
          </w:p>
        </w:tc>
        <w:tc>
          <w:tcPr>
            <w:tcW w:w="773" w:type="dxa"/>
            <w:tcBorders>
              <w:top w:val="nil"/>
              <w:left w:val="nil"/>
              <w:bottom w:val="single" w:sz="4" w:space="0" w:color="auto"/>
              <w:right w:val="single" w:sz="4" w:space="0" w:color="auto"/>
            </w:tcBorders>
            <w:shd w:val="clear" w:color="auto" w:fill="auto"/>
            <w:noWrap/>
            <w:vAlign w:val="bottom"/>
            <w:hideMark/>
          </w:tcPr>
          <w:p w14:paraId="58BCB9F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90,8</w:t>
            </w:r>
          </w:p>
        </w:tc>
        <w:tc>
          <w:tcPr>
            <w:tcW w:w="773" w:type="dxa"/>
            <w:tcBorders>
              <w:top w:val="nil"/>
              <w:left w:val="nil"/>
              <w:bottom w:val="single" w:sz="4" w:space="0" w:color="auto"/>
              <w:right w:val="single" w:sz="4" w:space="0" w:color="auto"/>
            </w:tcBorders>
            <w:shd w:val="clear" w:color="auto" w:fill="auto"/>
            <w:noWrap/>
            <w:vAlign w:val="bottom"/>
            <w:hideMark/>
          </w:tcPr>
          <w:p w14:paraId="5B35FFA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84,2</w:t>
            </w:r>
          </w:p>
        </w:tc>
        <w:tc>
          <w:tcPr>
            <w:tcW w:w="780" w:type="dxa"/>
            <w:tcBorders>
              <w:top w:val="nil"/>
              <w:left w:val="nil"/>
              <w:bottom w:val="single" w:sz="4" w:space="0" w:color="auto"/>
              <w:right w:val="single" w:sz="4" w:space="0" w:color="auto"/>
            </w:tcBorders>
            <w:shd w:val="clear" w:color="auto" w:fill="auto"/>
            <w:noWrap/>
            <w:vAlign w:val="bottom"/>
            <w:hideMark/>
          </w:tcPr>
          <w:p w14:paraId="419DB73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84,1</w:t>
            </w:r>
          </w:p>
        </w:tc>
        <w:tc>
          <w:tcPr>
            <w:tcW w:w="780" w:type="dxa"/>
            <w:tcBorders>
              <w:top w:val="nil"/>
              <w:left w:val="nil"/>
              <w:bottom w:val="single" w:sz="4" w:space="0" w:color="auto"/>
              <w:right w:val="single" w:sz="4" w:space="0" w:color="auto"/>
            </w:tcBorders>
            <w:shd w:val="clear" w:color="auto" w:fill="auto"/>
            <w:noWrap/>
            <w:vAlign w:val="bottom"/>
            <w:hideMark/>
          </w:tcPr>
          <w:p w14:paraId="5A8A4AA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86,5</w:t>
            </w:r>
          </w:p>
        </w:tc>
        <w:tc>
          <w:tcPr>
            <w:tcW w:w="700" w:type="dxa"/>
            <w:tcBorders>
              <w:top w:val="nil"/>
              <w:left w:val="nil"/>
              <w:bottom w:val="single" w:sz="4" w:space="0" w:color="auto"/>
              <w:right w:val="single" w:sz="4" w:space="0" w:color="auto"/>
            </w:tcBorders>
            <w:shd w:val="clear" w:color="auto" w:fill="auto"/>
            <w:noWrap/>
            <w:vAlign w:val="bottom"/>
            <w:hideMark/>
          </w:tcPr>
          <w:p w14:paraId="065F3081"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76,9</w:t>
            </w:r>
          </w:p>
        </w:tc>
      </w:tr>
      <w:tr w:rsidR="00D677DC" w:rsidRPr="00D677DC" w14:paraId="5D5F080E"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9A7670"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Croatia</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50BE81C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39</w:t>
            </w:r>
          </w:p>
        </w:tc>
        <w:tc>
          <w:tcPr>
            <w:tcW w:w="773" w:type="dxa"/>
            <w:tcBorders>
              <w:top w:val="nil"/>
              <w:left w:val="nil"/>
              <w:bottom w:val="single" w:sz="4" w:space="0" w:color="auto"/>
              <w:right w:val="single" w:sz="4" w:space="0" w:color="auto"/>
            </w:tcBorders>
            <w:shd w:val="clear" w:color="auto" w:fill="auto"/>
            <w:noWrap/>
            <w:vAlign w:val="bottom"/>
            <w:hideMark/>
          </w:tcPr>
          <w:p w14:paraId="37866A8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53,9</w:t>
            </w:r>
          </w:p>
        </w:tc>
        <w:tc>
          <w:tcPr>
            <w:tcW w:w="773" w:type="dxa"/>
            <w:tcBorders>
              <w:top w:val="nil"/>
              <w:left w:val="nil"/>
              <w:bottom w:val="single" w:sz="4" w:space="0" w:color="auto"/>
              <w:right w:val="single" w:sz="4" w:space="0" w:color="auto"/>
            </w:tcBorders>
            <w:shd w:val="clear" w:color="auto" w:fill="auto"/>
            <w:noWrap/>
            <w:vAlign w:val="bottom"/>
            <w:hideMark/>
          </w:tcPr>
          <w:p w14:paraId="3AB12A0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48,6</w:t>
            </w:r>
          </w:p>
        </w:tc>
        <w:tc>
          <w:tcPr>
            <w:tcW w:w="780" w:type="dxa"/>
            <w:tcBorders>
              <w:top w:val="nil"/>
              <w:left w:val="nil"/>
              <w:bottom w:val="single" w:sz="4" w:space="0" w:color="auto"/>
              <w:right w:val="single" w:sz="4" w:space="0" w:color="auto"/>
            </w:tcBorders>
            <w:shd w:val="clear" w:color="auto" w:fill="auto"/>
            <w:noWrap/>
            <w:vAlign w:val="bottom"/>
            <w:hideMark/>
          </w:tcPr>
          <w:p w14:paraId="39A589A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40,1</w:t>
            </w:r>
          </w:p>
        </w:tc>
        <w:tc>
          <w:tcPr>
            <w:tcW w:w="780" w:type="dxa"/>
            <w:tcBorders>
              <w:top w:val="nil"/>
              <w:left w:val="nil"/>
              <w:bottom w:val="single" w:sz="4" w:space="0" w:color="auto"/>
              <w:right w:val="single" w:sz="4" w:space="0" w:color="auto"/>
            </w:tcBorders>
            <w:shd w:val="clear" w:color="auto" w:fill="auto"/>
            <w:noWrap/>
            <w:vAlign w:val="bottom"/>
            <w:hideMark/>
          </w:tcPr>
          <w:p w14:paraId="1E9FDB3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56,3</w:t>
            </w:r>
          </w:p>
        </w:tc>
        <w:tc>
          <w:tcPr>
            <w:tcW w:w="700" w:type="dxa"/>
            <w:tcBorders>
              <w:top w:val="nil"/>
              <w:left w:val="nil"/>
              <w:bottom w:val="single" w:sz="4" w:space="0" w:color="auto"/>
              <w:right w:val="single" w:sz="4" w:space="0" w:color="auto"/>
            </w:tcBorders>
            <w:shd w:val="clear" w:color="auto" w:fill="auto"/>
            <w:noWrap/>
            <w:vAlign w:val="bottom"/>
            <w:hideMark/>
          </w:tcPr>
          <w:p w14:paraId="75A8876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46,2</w:t>
            </w:r>
          </w:p>
        </w:tc>
      </w:tr>
      <w:tr w:rsidR="00D677DC" w:rsidRPr="00D677DC" w14:paraId="2C1AE363"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1C4DD53"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Italy</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186B83A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98,3</w:t>
            </w:r>
          </w:p>
        </w:tc>
        <w:tc>
          <w:tcPr>
            <w:tcW w:w="773" w:type="dxa"/>
            <w:tcBorders>
              <w:top w:val="nil"/>
              <w:left w:val="nil"/>
              <w:bottom w:val="single" w:sz="4" w:space="0" w:color="auto"/>
              <w:right w:val="single" w:sz="4" w:space="0" w:color="auto"/>
            </w:tcBorders>
            <w:shd w:val="clear" w:color="auto" w:fill="auto"/>
            <w:noWrap/>
            <w:vAlign w:val="bottom"/>
            <w:hideMark/>
          </w:tcPr>
          <w:p w14:paraId="6FA5A67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90,8</w:t>
            </w:r>
          </w:p>
        </w:tc>
        <w:tc>
          <w:tcPr>
            <w:tcW w:w="773" w:type="dxa"/>
            <w:tcBorders>
              <w:top w:val="nil"/>
              <w:left w:val="nil"/>
              <w:bottom w:val="single" w:sz="4" w:space="0" w:color="auto"/>
              <w:right w:val="single" w:sz="4" w:space="0" w:color="auto"/>
            </w:tcBorders>
            <w:shd w:val="clear" w:color="auto" w:fill="auto"/>
            <w:noWrap/>
            <w:vAlign w:val="bottom"/>
            <w:hideMark/>
          </w:tcPr>
          <w:p w14:paraId="40EFB0B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77,8</w:t>
            </w:r>
          </w:p>
        </w:tc>
        <w:tc>
          <w:tcPr>
            <w:tcW w:w="780" w:type="dxa"/>
            <w:tcBorders>
              <w:top w:val="nil"/>
              <w:left w:val="nil"/>
              <w:bottom w:val="single" w:sz="4" w:space="0" w:color="auto"/>
              <w:right w:val="single" w:sz="4" w:space="0" w:color="auto"/>
            </w:tcBorders>
            <w:shd w:val="clear" w:color="auto" w:fill="auto"/>
            <w:noWrap/>
            <w:vAlign w:val="bottom"/>
            <w:hideMark/>
          </w:tcPr>
          <w:p w14:paraId="465B50F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62,4</w:t>
            </w:r>
          </w:p>
        </w:tc>
        <w:tc>
          <w:tcPr>
            <w:tcW w:w="780" w:type="dxa"/>
            <w:tcBorders>
              <w:top w:val="nil"/>
              <w:left w:val="nil"/>
              <w:bottom w:val="single" w:sz="4" w:space="0" w:color="auto"/>
              <w:right w:val="single" w:sz="4" w:space="0" w:color="auto"/>
            </w:tcBorders>
            <w:shd w:val="clear" w:color="auto" w:fill="auto"/>
            <w:noWrap/>
            <w:vAlign w:val="bottom"/>
            <w:hideMark/>
          </w:tcPr>
          <w:p w14:paraId="383F0B6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66,1</w:t>
            </w:r>
          </w:p>
        </w:tc>
        <w:tc>
          <w:tcPr>
            <w:tcW w:w="700" w:type="dxa"/>
            <w:tcBorders>
              <w:top w:val="nil"/>
              <w:left w:val="nil"/>
              <w:bottom w:val="single" w:sz="4" w:space="0" w:color="auto"/>
              <w:right w:val="single" w:sz="4" w:space="0" w:color="auto"/>
            </w:tcBorders>
            <w:shd w:val="clear" w:color="auto" w:fill="auto"/>
            <w:noWrap/>
            <w:vAlign w:val="bottom"/>
            <w:hideMark/>
          </w:tcPr>
          <w:p w14:paraId="65A5FE5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54,6</w:t>
            </w:r>
          </w:p>
        </w:tc>
      </w:tr>
      <w:tr w:rsidR="00D677DC" w:rsidRPr="00D677DC" w14:paraId="3FB5220A"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E922502"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Cyprus</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67A2819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77,6</w:t>
            </w:r>
          </w:p>
        </w:tc>
        <w:tc>
          <w:tcPr>
            <w:tcW w:w="773" w:type="dxa"/>
            <w:tcBorders>
              <w:top w:val="nil"/>
              <w:left w:val="nil"/>
              <w:bottom w:val="single" w:sz="4" w:space="0" w:color="auto"/>
              <w:right w:val="single" w:sz="4" w:space="0" w:color="auto"/>
            </w:tcBorders>
            <w:shd w:val="clear" w:color="auto" w:fill="auto"/>
            <w:noWrap/>
            <w:vAlign w:val="bottom"/>
            <w:hideMark/>
          </w:tcPr>
          <w:p w14:paraId="60532D3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89,9</w:t>
            </w:r>
          </w:p>
        </w:tc>
        <w:tc>
          <w:tcPr>
            <w:tcW w:w="773" w:type="dxa"/>
            <w:tcBorders>
              <w:top w:val="nil"/>
              <w:left w:val="nil"/>
              <w:bottom w:val="single" w:sz="4" w:space="0" w:color="auto"/>
              <w:right w:val="single" w:sz="4" w:space="0" w:color="auto"/>
            </w:tcBorders>
            <w:shd w:val="clear" w:color="auto" w:fill="auto"/>
            <w:noWrap/>
            <w:vAlign w:val="bottom"/>
            <w:hideMark/>
          </w:tcPr>
          <w:p w14:paraId="71FB68C1"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66,7</w:t>
            </w:r>
          </w:p>
        </w:tc>
        <w:tc>
          <w:tcPr>
            <w:tcW w:w="780" w:type="dxa"/>
            <w:tcBorders>
              <w:top w:val="nil"/>
              <w:left w:val="nil"/>
              <w:bottom w:val="single" w:sz="4" w:space="0" w:color="auto"/>
              <w:right w:val="single" w:sz="4" w:space="0" w:color="auto"/>
            </w:tcBorders>
            <w:shd w:val="clear" w:color="auto" w:fill="auto"/>
            <w:noWrap/>
            <w:vAlign w:val="bottom"/>
            <w:hideMark/>
          </w:tcPr>
          <w:p w14:paraId="54EEAE0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61,2</w:t>
            </w:r>
          </w:p>
        </w:tc>
        <w:tc>
          <w:tcPr>
            <w:tcW w:w="780" w:type="dxa"/>
            <w:tcBorders>
              <w:top w:val="nil"/>
              <w:left w:val="nil"/>
              <w:bottom w:val="single" w:sz="4" w:space="0" w:color="auto"/>
              <w:right w:val="single" w:sz="4" w:space="0" w:color="auto"/>
            </w:tcBorders>
            <w:shd w:val="clear" w:color="auto" w:fill="auto"/>
            <w:noWrap/>
            <w:vAlign w:val="bottom"/>
            <w:hideMark/>
          </w:tcPr>
          <w:p w14:paraId="6396E40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83,2</w:t>
            </w:r>
          </w:p>
        </w:tc>
        <w:tc>
          <w:tcPr>
            <w:tcW w:w="700" w:type="dxa"/>
            <w:tcBorders>
              <w:top w:val="nil"/>
              <w:left w:val="nil"/>
              <w:bottom w:val="single" w:sz="4" w:space="0" w:color="auto"/>
              <w:right w:val="single" w:sz="4" w:space="0" w:color="auto"/>
            </w:tcBorders>
            <w:shd w:val="clear" w:color="auto" w:fill="auto"/>
            <w:noWrap/>
            <w:vAlign w:val="bottom"/>
            <w:hideMark/>
          </w:tcPr>
          <w:p w14:paraId="2EB70E8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58</w:t>
            </w:r>
          </w:p>
        </w:tc>
      </w:tr>
      <w:tr w:rsidR="00D677DC" w:rsidRPr="00D677DC" w14:paraId="66E98069"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E7C109"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Latvia</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2FE5433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29</w:t>
            </w:r>
          </w:p>
        </w:tc>
        <w:tc>
          <w:tcPr>
            <w:tcW w:w="773" w:type="dxa"/>
            <w:tcBorders>
              <w:top w:val="nil"/>
              <w:left w:val="nil"/>
              <w:bottom w:val="single" w:sz="4" w:space="0" w:color="auto"/>
              <w:right w:val="single" w:sz="4" w:space="0" w:color="auto"/>
            </w:tcBorders>
            <w:shd w:val="clear" w:color="auto" w:fill="auto"/>
            <w:noWrap/>
            <w:vAlign w:val="bottom"/>
            <w:hideMark/>
          </w:tcPr>
          <w:p w14:paraId="0950AA1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50,3</w:t>
            </w:r>
          </w:p>
        </w:tc>
        <w:tc>
          <w:tcPr>
            <w:tcW w:w="773" w:type="dxa"/>
            <w:tcBorders>
              <w:top w:val="nil"/>
              <w:left w:val="nil"/>
              <w:bottom w:val="single" w:sz="4" w:space="0" w:color="auto"/>
              <w:right w:val="single" w:sz="4" w:space="0" w:color="auto"/>
            </w:tcBorders>
            <w:shd w:val="clear" w:color="auto" w:fill="auto"/>
            <w:noWrap/>
            <w:vAlign w:val="bottom"/>
            <w:hideMark/>
          </w:tcPr>
          <w:p w14:paraId="7699F9A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52,5</w:t>
            </w:r>
          </w:p>
        </w:tc>
        <w:tc>
          <w:tcPr>
            <w:tcW w:w="780" w:type="dxa"/>
            <w:tcBorders>
              <w:top w:val="nil"/>
              <w:left w:val="nil"/>
              <w:bottom w:val="single" w:sz="4" w:space="0" w:color="auto"/>
              <w:right w:val="single" w:sz="4" w:space="0" w:color="auto"/>
            </w:tcBorders>
            <w:shd w:val="clear" w:color="auto" w:fill="auto"/>
            <w:noWrap/>
            <w:vAlign w:val="bottom"/>
            <w:hideMark/>
          </w:tcPr>
          <w:p w14:paraId="0C0BC94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22,8</w:t>
            </w:r>
          </w:p>
        </w:tc>
        <w:tc>
          <w:tcPr>
            <w:tcW w:w="780" w:type="dxa"/>
            <w:tcBorders>
              <w:top w:val="nil"/>
              <w:left w:val="nil"/>
              <w:bottom w:val="single" w:sz="4" w:space="0" w:color="auto"/>
              <w:right w:val="single" w:sz="4" w:space="0" w:color="auto"/>
            </w:tcBorders>
            <w:shd w:val="clear" w:color="auto" w:fill="auto"/>
            <w:noWrap/>
            <w:vAlign w:val="bottom"/>
            <w:hideMark/>
          </w:tcPr>
          <w:p w14:paraId="3B35461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52,4</w:t>
            </w:r>
          </w:p>
        </w:tc>
        <w:tc>
          <w:tcPr>
            <w:tcW w:w="700" w:type="dxa"/>
            <w:tcBorders>
              <w:top w:val="nil"/>
              <w:left w:val="nil"/>
              <w:bottom w:val="single" w:sz="4" w:space="0" w:color="auto"/>
              <w:right w:val="single" w:sz="4" w:space="0" w:color="auto"/>
            </w:tcBorders>
            <w:shd w:val="clear" w:color="auto" w:fill="auto"/>
            <w:noWrap/>
            <w:vAlign w:val="bottom"/>
            <w:hideMark/>
          </w:tcPr>
          <w:p w14:paraId="05CEBB0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48,6</w:t>
            </w:r>
          </w:p>
        </w:tc>
      </w:tr>
      <w:tr w:rsidR="00D677DC" w:rsidRPr="00D677DC" w14:paraId="14B4B879"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F034EE"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Lithuania</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682B60C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30,7</w:t>
            </w:r>
          </w:p>
        </w:tc>
        <w:tc>
          <w:tcPr>
            <w:tcW w:w="773" w:type="dxa"/>
            <w:tcBorders>
              <w:top w:val="nil"/>
              <w:left w:val="nil"/>
              <w:bottom w:val="single" w:sz="4" w:space="0" w:color="auto"/>
              <w:right w:val="single" w:sz="4" w:space="0" w:color="auto"/>
            </w:tcBorders>
            <w:shd w:val="clear" w:color="auto" w:fill="auto"/>
            <w:noWrap/>
            <w:vAlign w:val="bottom"/>
            <w:hideMark/>
          </w:tcPr>
          <w:p w14:paraId="632DB09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53,6</w:t>
            </w:r>
          </w:p>
        </w:tc>
        <w:tc>
          <w:tcPr>
            <w:tcW w:w="773" w:type="dxa"/>
            <w:tcBorders>
              <w:top w:val="nil"/>
              <w:left w:val="nil"/>
              <w:bottom w:val="single" w:sz="4" w:space="0" w:color="auto"/>
              <w:right w:val="single" w:sz="4" w:space="0" w:color="auto"/>
            </w:tcBorders>
            <w:shd w:val="clear" w:color="auto" w:fill="auto"/>
            <w:noWrap/>
            <w:vAlign w:val="bottom"/>
            <w:hideMark/>
          </w:tcPr>
          <w:p w14:paraId="6ADBED4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60,8</w:t>
            </w:r>
          </w:p>
        </w:tc>
        <w:tc>
          <w:tcPr>
            <w:tcW w:w="780" w:type="dxa"/>
            <w:tcBorders>
              <w:top w:val="nil"/>
              <w:left w:val="nil"/>
              <w:bottom w:val="single" w:sz="4" w:space="0" w:color="auto"/>
              <w:right w:val="single" w:sz="4" w:space="0" w:color="auto"/>
            </w:tcBorders>
            <w:shd w:val="clear" w:color="auto" w:fill="auto"/>
            <w:noWrap/>
            <w:vAlign w:val="bottom"/>
            <w:hideMark/>
          </w:tcPr>
          <w:p w14:paraId="122A18D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22,3</w:t>
            </w:r>
          </w:p>
        </w:tc>
        <w:tc>
          <w:tcPr>
            <w:tcW w:w="780" w:type="dxa"/>
            <w:tcBorders>
              <w:top w:val="nil"/>
              <w:left w:val="nil"/>
              <w:bottom w:val="single" w:sz="4" w:space="0" w:color="auto"/>
              <w:right w:val="single" w:sz="4" w:space="0" w:color="auto"/>
            </w:tcBorders>
            <w:shd w:val="clear" w:color="auto" w:fill="auto"/>
            <w:noWrap/>
            <w:vAlign w:val="bottom"/>
            <w:hideMark/>
          </w:tcPr>
          <w:p w14:paraId="74074FA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46,6</w:t>
            </w:r>
          </w:p>
        </w:tc>
        <w:tc>
          <w:tcPr>
            <w:tcW w:w="700" w:type="dxa"/>
            <w:tcBorders>
              <w:top w:val="nil"/>
              <w:left w:val="nil"/>
              <w:bottom w:val="single" w:sz="4" w:space="0" w:color="auto"/>
              <w:right w:val="single" w:sz="4" w:space="0" w:color="auto"/>
            </w:tcBorders>
            <w:shd w:val="clear" w:color="auto" w:fill="auto"/>
            <w:noWrap/>
            <w:vAlign w:val="bottom"/>
            <w:hideMark/>
          </w:tcPr>
          <w:p w14:paraId="5787EDA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50,3</w:t>
            </w:r>
          </w:p>
        </w:tc>
      </w:tr>
      <w:tr w:rsidR="00D677DC" w:rsidRPr="00D677DC" w14:paraId="58CA17FB"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415B227"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Luxembourg</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7F6064D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200,8</w:t>
            </w:r>
          </w:p>
        </w:tc>
        <w:tc>
          <w:tcPr>
            <w:tcW w:w="773" w:type="dxa"/>
            <w:tcBorders>
              <w:top w:val="nil"/>
              <w:left w:val="nil"/>
              <w:bottom w:val="single" w:sz="4" w:space="0" w:color="auto"/>
              <w:right w:val="single" w:sz="4" w:space="0" w:color="auto"/>
            </w:tcBorders>
            <w:shd w:val="clear" w:color="auto" w:fill="auto"/>
            <w:noWrap/>
            <w:vAlign w:val="bottom"/>
            <w:hideMark/>
          </w:tcPr>
          <w:p w14:paraId="3009BB3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223,5</w:t>
            </w:r>
          </w:p>
        </w:tc>
        <w:tc>
          <w:tcPr>
            <w:tcW w:w="773" w:type="dxa"/>
            <w:tcBorders>
              <w:top w:val="nil"/>
              <w:left w:val="nil"/>
              <w:bottom w:val="single" w:sz="4" w:space="0" w:color="auto"/>
              <w:right w:val="single" w:sz="4" w:space="0" w:color="auto"/>
            </w:tcBorders>
            <w:shd w:val="clear" w:color="auto" w:fill="auto"/>
            <w:noWrap/>
            <w:vAlign w:val="bottom"/>
            <w:hideMark/>
          </w:tcPr>
          <w:p w14:paraId="005FF37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210</w:t>
            </w:r>
          </w:p>
        </w:tc>
        <w:tc>
          <w:tcPr>
            <w:tcW w:w="780" w:type="dxa"/>
            <w:tcBorders>
              <w:top w:val="nil"/>
              <w:left w:val="nil"/>
              <w:bottom w:val="single" w:sz="4" w:space="0" w:color="auto"/>
              <w:right w:val="single" w:sz="4" w:space="0" w:color="auto"/>
            </w:tcBorders>
            <w:shd w:val="clear" w:color="auto" w:fill="auto"/>
            <w:noWrap/>
            <w:vAlign w:val="bottom"/>
            <w:hideMark/>
          </w:tcPr>
          <w:p w14:paraId="7C0CD95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191,8</w:t>
            </w:r>
          </w:p>
        </w:tc>
        <w:tc>
          <w:tcPr>
            <w:tcW w:w="780" w:type="dxa"/>
            <w:tcBorders>
              <w:top w:val="nil"/>
              <w:left w:val="nil"/>
              <w:bottom w:val="single" w:sz="4" w:space="0" w:color="auto"/>
              <w:right w:val="single" w:sz="4" w:space="0" w:color="auto"/>
            </w:tcBorders>
            <w:shd w:val="clear" w:color="auto" w:fill="auto"/>
            <w:noWrap/>
            <w:vAlign w:val="bottom"/>
            <w:hideMark/>
          </w:tcPr>
          <w:p w14:paraId="13FA39F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240,6</w:t>
            </w:r>
          </w:p>
        </w:tc>
        <w:tc>
          <w:tcPr>
            <w:tcW w:w="700" w:type="dxa"/>
            <w:tcBorders>
              <w:top w:val="nil"/>
              <w:left w:val="nil"/>
              <w:bottom w:val="single" w:sz="4" w:space="0" w:color="auto"/>
              <w:right w:val="single" w:sz="4" w:space="0" w:color="auto"/>
            </w:tcBorders>
            <w:shd w:val="clear" w:color="auto" w:fill="auto"/>
            <w:noWrap/>
            <w:vAlign w:val="bottom"/>
            <w:hideMark/>
          </w:tcPr>
          <w:p w14:paraId="018EA7D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214</w:t>
            </w:r>
          </w:p>
        </w:tc>
      </w:tr>
      <w:tr w:rsidR="00D677DC" w:rsidRPr="00D677DC" w14:paraId="07531866"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C06E474"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Hungary</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0F772D81"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43,2</w:t>
            </w:r>
          </w:p>
        </w:tc>
        <w:tc>
          <w:tcPr>
            <w:tcW w:w="773" w:type="dxa"/>
            <w:tcBorders>
              <w:top w:val="nil"/>
              <w:left w:val="nil"/>
              <w:bottom w:val="single" w:sz="4" w:space="0" w:color="auto"/>
              <w:right w:val="single" w:sz="4" w:space="0" w:color="auto"/>
            </w:tcBorders>
            <w:shd w:val="clear" w:color="auto" w:fill="auto"/>
            <w:noWrap/>
            <w:vAlign w:val="bottom"/>
            <w:hideMark/>
          </w:tcPr>
          <w:p w14:paraId="6A196EE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53,3</w:t>
            </w:r>
          </w:p>
        </w:tc>
        <w:tc>
          <w:tcPr>
            <w:tcW w:w="773" w:type="dxa"/>
            <w:tcBorders>
              <w:top w:val="nil"/>
              <w:left w:val="nil"/>
              <w:bottom w:val="single" w:sz="4" w:space="0" w:color="auto"/>
              <w:right w:val="single" w:sz="4" w:space="0" w:color="auto"/>
            </w:tcBorders>
            <w:shd w:val="clear" w:color="auto" w:fill="auto"/>
            <w:noWrap/>
            <w:vAlign w:val="bottom"/>
            <w:hideMark/>
          </w:tcPr>
          <w:p w14:paraId="6CC060D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55</w:t>
            </w:r>
          </w:p>
        </w:tc>
        <w:tc>
          <w:tcPr>
            <w:tcW w:w="780" w:type="dxa"/>
            <w:tcBorders>
              <w:top w:val="nil"/>
              <w:left w:val="nil"/>
              <w:bottom w:val="single" w:sz="4" w:space="0" w:color="auto"/>
              <w:right w:val="single" w:sz="4" w:space="0" w:color="auto"/>
            </w:tcBorders>
            <w:shd w:val="clear" w:color="auto" w:fill="auto"/>
            <w:noWrap/>
            <w:vAlign w:val="bottom"/>
            <w:hideMark/>
          </w:tcPr>
          <w:p w14:paraId="2B51136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33,7</w:t>
            </w:r>
          </w:p>
        </w:tc>
        <w:tc>
          <w:tcPr>
            <w:tcW w:w="780" w:type="dxa"/>
            <w:tcBorders>
              <w:top w:val="nil"/>
              <w:left w:val="nil"/>
              <w:bottom w:val="single" w:sz="4" w:space="0" w:color="auto"/>
              <w:right w:val="single" w:sz="4" w:space="0" w:color="auto"/>
            </w:tcBorders>
            <w:shd w:val="clear" w:color="auto" w:fill="auto"/>
            <w:noWrap/>
            <w:vAlign w:val="bottom"/>
            <w:hideMark/>
          </w:tcPr>
          <w:p w14:paraId="6061CF2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47,7</w:t>
            </w:r>
          </w:p>
        </w:tc>
        <w:tc>
          <w:tcPr>
            <w:tcW w:w="700" w:type="dxa"/>
            <w:tcBorders>
              <w:top w:val="nil"/>
              <w:left w:val="nil"/>
              <w:bottom w:val="single" w:sz="4" w:space="0" w:color="auto"/>
              <w:right w:val="single" w:sz="4" w:space="0" w:color="auto"/>
            </w:tcBorders>
            <w:shd w:val="clear" w:color="auto" w:fill="auto"/>
            <w:noWrap/>
            <w:vAlign w:val="bottom"/>
            <w:hideMark/>
          </w:tcPr>
          <w:p w14:paraId="2354CD4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45,7</w:t>
            </w:r>
          </w:p>
        </w:tc>
      </w:tr>
      <w:tr w:rsidR="00D677DC" w:rsidRPr="00D677DC" w14:paraId="79F523F2"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9DBB61B"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Malta</w:t>
            </w:r>
          </w:p>
        </w:tc>
        <w:tc>
          <w:tcPr>
            <w:tcW w:w="774" w:type="dxa"/>
            <w:tcBorders>
              <w:top w:val="nil"/>
              <w:left w:val="nil"/>
              <w:bottom w:val="single" w:sz="4" w:space="0" w:color="auto"/>
              <w:right w:val="single" w:sz="4" w:space="0" w:color="auto"/>
            </w:tcBorders>
            <w:shd w:val="clear" w:color="auto" w:fill="auto"/>
            <w:noWrap/>
            <w:vAlign w:val="bottom"/>
            <w:hideMark/>
          </w:tcPr>
          <w:p w14:paraId="1CE5F45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66,4</w:t>
            </w:r>
          </w:p>
        </w:tc>
        <w:tc>
          <w:tcPr>
            <w:tcW w:w="773" w:type="dxa"/>
            <w:tcBorders>
              <w:top w:val="nil"/>
              <w:left w:val="nil"/>
              <w:bottom w:val="single" w:sz="4" w:space="0" w:color="auto"/>
              <w:right w:val="single" w:sz="4" w:space="0" w:color="auto"/>
            </w:tcBorders>
            <w:shd w:val="clear" w:color="auto" w:fill="auto"/>
            <w:noWrap/>
            <w:vAlign w:val="bottom"/>
            <w:hideMark/>
          </w:tcPr>
          <w:p w14:paraId="3CDC635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67,6</w:t>
            </w:r>
          </w:p>
        </w:tc>
        <w:tc>
          <w:tcPr>
            <w:tcW w:w="773" w:type="dxa"/>
            <w:tcBorders>
              <w:top w:val="nil"/>
              <w:left w:val="nil"/>
              <w:bottom w:val="single" w:sz="4" w:space="0" w:color="auto"/>
              <w:right w:val="single" w:sz="4" w:space="0" w:color="auto"/>
            </w:tcBorders>
            <w:shd w:val="clear" w:color="auto" w:fill="auto"/>
            <w:noWrap/>
            <w:vAlign w:val="bottom"/>
            <w:hideMark/>
          </w:tcPr>
          <w:p w14:paraId="6DDC968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76,9</w:t>
            </w:r>
          </w:p>
        </w:tc>
        <w:tc>
          <w:tcPr>
            <w:tcW w:w="780" w:type="dxa"/>
            <w:tcBorders>
              <w:top w:val="nil"/>
              <w:left w:val="nil"/>
              <w:bottom w:val="single" w:sz="4" w:space="0" w:color="auto"/>
              <w:right w:val="single" w:sz="4" w:space="0" w:color="auto"/>
            </w:tcBorders>
            <w:shd w:val="clear" w:color="auto" w:fill="auto"/>
            <w:noWrap/>
            <w:vAlign w:val="bottom"/>
            <w:hideMark/>
          </w:tcPr>
          <w:p w14:paraId="4287147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62</w:t>
            </w:r>
          </w:p>
        </w:tc>
        <w:tc>
          <w:tcPr>
            <w:tcW w:w="780" w:type="dxa"/>
            <w:tcBorders>
              <w:top w:val="nil"/>
              <w:left w:val="nil"/>
              <w:bottom w:val="single" w:sz="4" w:space="0" w:color="auto"/>
              <w:right w:val="single" w:sz="4" w:space="0" w:color="auto"/>
            </w:tcBorders>
            <w:shd w:val="clear" w:color="auto" w:fill="auto"/>
            <w:noWrap/>
            <w:vAlign w:val="bottom"/>
            <w:hideMark/>
          </w:tcPr>
          <w:p w14:paraId="532973F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68</w:t>
            </w:r>
          </w:p>
        </w:tc>
        <w:tc>
          <w:tcPr>
            <w:tcW w:w="700" w:type="dxa"/>
            <w:tcBorders>
              <w:top w:val="nil"/>
              <w:left w:val="nil"/>
              <w:bottom w:val="single" w:sz="4" w:space="0" w:color="auto"/>
              <w:right w:val="single" w:sz="4" w:space="0" w:color="auto"/>
            </w:tcBorders>
            <w:shd w:val="clear" w:color="auto" w:fill="auto"/>
            <w:noWrap/>
            <w:vAlign w:val="bottom"/>
            <w:hideMark/>
          </w:tcPr>
          <w:p w14:paraId="7851ECC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71,2</w:t>
            </w:r>
          </w:p>
        </w:tc>
      </w:tr>
      <w:tr w:rsidR="00D677DC" w:rsidRPr="00D677DC" w14:paraId="2EFB82DD"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70E7C9"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Netherlands</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2278E10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114,9</w:t>
            </w:r>
          </w:p>
        </w:tc>
        <w:tc>
          <w:tcPr>
            <w:tcW w:w="773" w:type="dxa"/>
            <w:tcBorders>
              <w:top w:val="nil"/>
              <w:left w:val="nil"/>
              <w:bottom w:val="single" w:sz="4" w:space="0" w:color="auto"/>
              <w:right w:val="single" w:sz="4" w:space="0" w:color="auto"/>
            </w:tcBorders>
            <w:shd w:val="clear" w:color="auto" w:fill="auto"/>
            <w:noWrap/>
            <w:vAlign w:val="bottom"/>
            <w:hideMark/>
          </w:tcPr>
          <w:p w14:paraId="125D058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118,3</w:t>
            </w:r>
          </w:p>
        </w:tc>
        <w:tc>
          <w:tcPr>
            <w:tcW w:w="773" w:type="dxa"/>
            <w:tcBorders>
              <w:top w:val="nil"/>
              <w:left w:val="nil"/>
              <w:bottom w:val="single" w:sz="4" w:space="0" w:color="auto"/>
              <w:right w:val="single" w:sz="4" w:space="0" w:color="auto"/>
            </w:tcBorders>
            <w:shd w:val="clear" w:color="auto" w:fill="auto"/>
            <w:noWrap/>
            <w:vAlign w:val="bottom"/>
            <w:hideMark/>
          </w:tcPr>
          <w:p w14:paraId="15A928C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104,2</w:t>
            </w:r>
          </w:p>
        </w:tc>
        <w:tc>
          <w:tcPr>
            <w:tcW w:w="780" w:type="dxa"/>
            <w:tcBorders>
              <w:top w:val="nil"/>
              <w:left w:val="nil"/>
              <w:bottom w:val="single" w:sz="4" w:space="0" w:color="auto"/>
              <w:right w:val="single" w:sz="4" w:space="0" w:color="auto"/>
            </w:tcBorders>
            <w:shd w:val="clear" w:color="auto" w:fill="auto"/>
            <w:noWrap/>
            <w:vAlign w:val="bottom"/>
            <w:hideMark/>
          </w:tcPr>
          <w:p w14:paraId="158DA73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108,7</w:t>
            </w:r>
          </w:p>
        </w:tc>
        <w:tc>
          <w:tcPr>
            <w:tcW w:w="780" w:type="dxa"/>
            <w:tcBorders>
              <w:top w:val="nil"/>
              <w:left w:val="nil"/>
              <w:bottom w:val="single" w:sz="4" w:space="0" w:color="auto"/>
              <w:right w:val="single" w:sz="4" w:space="0" w:color="auto"/>
            </w:tcBorders>
            <w:shd w:val="clear" w:color="auto" w:fill="auto"/>
            <w:noWrap/>
            <w:vAlign w:val="bottom"/>
            <w:hideMark/>
          </w:tcPr>
          <w:p w14:paraId="7653E14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114,1</w:t>
            </w:r>
          </w:p>
        </w:tc>
        <w:tc>
          <w:tcPr>
            <w:tcW w:w="700" w:type="dxa"/>
            <w:tcBorders>
              <w:top w:val="nil"/>
              <w:left w:val="nil"/>
              <w:bottom w:val="single" w:sz="4" w:space="0" w:color="auto"/>
              <w:right w:val="single" w:sz="4" w:space="0" w:color="auto"/>
            </w:tcBorders>
            <w:shd w:val="clear" w:color="auto" w:fill="auto"/>
            <w:noWrap/>
            <w:vAlign w:val="bottom"/>
            <w:hideMark/>
          </w:tcPr>
          <w:p w14:paraId="0AF6893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95,4</w:t>
            </w:r>
          </w:p>
        </w:tc>
      </w:tr>
      <w:tr w:rsidR="00D677DC" w:rsidRPr="00D677DC" w14:paraId="1C70B4A8"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D81761"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Austria</w:t>
            </w:r>
          </w:p>
        </w:tc>
        <w:tc>
          <w:tcPr>
            <w:tcW w:w="774" w:type="dxa"/>
            <w:tcBorders>
              <w:top w:val="nil"/>
              <w:left w:val="nil"/>
              <w:bottom w:val="single" w:sz="4" w:space="0" w:color="auto"/>
              <w:right w:val="single" w:sz="4" w:space="0" w:color="auto"/>
            </w:tcBorders>
            <w:shd w:val="clear" w:color="auto" w:fill="auto"/>
            <w:noWrap/>
            <w:vAlign w:val="bottom"/>
            <w:hideMark/>
          </w:tcPr>
          <w:p w14:paraId="5A05957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106,6</w:t>
            </w:r>
          </w:p>
        </w:tc>
        <w:tc>
          <w:tcPr>
            <w:tcW w:w="773" w:type="dxa"/>
            <w:tcBorders>
              <w:top w:val="nil"/>
              <w:left w:val="nil"/>
              <w:bottom w:val="single" w:sz="4" w:space="0" w:color="auto"/>
              <w:right w:val="single" w:sz="4" w:space="0" w:color="auto"/>
            </w:tcBorders>
            <w:shd w:val="clear" w:color="auto" w:fill="auto"/>
            <w:noWrap/>
            <w:vAlign w:val="bottom"/>
            <w:hideMark/>
          </w:tcPr>
          <w:p w14:paraId="2343DD0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106,9</w:t>
            </w:r>
          </w:p>
        </w:tc>
        <w:tc>
          <w:tcPr>
            <w:tcW w:w="773" w:type="dxa"/>
            <w:tcBorders>
              <w:top w:val="nil"/>
              <w:left w:val="nil"/>
              <w:bottom w:val="single" w:sz="4" w:space="0" w:color="auto"/>
              <w:right w:val="single" w:sz="4" w:space="0" w:color="auto"/>
            </w:tcBorders>
            <w:shd w:val="clear" w:color="auto" w:fill="auto"/>
            <w:noWrap/>
            <w:vAlign w:val="bottom"/>
            <w:hideMark/>
          </w:tcPr>
          <w:p w14:paraId="7D8374D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103,1</w:t>
            </w:r>
          </w:p>
        </w:tc>
        <w:tc>
          <w:tcPr>
            <w:tcW w:w="780" w:type="dxa"/>
            <w:tcBorders>
              <w:top w:val="nil"/>
              <w:left w:val="nil"/>
              <w:bottom w:val="single" w:sz="4" w:space="0" w:color="auto"/>
              <w:right w:val="single" w:sz="4" w:space="0" w:color="auto"/>
            </w:tcBorders>
            <w:shd w:val="clear" w:color="auto" w:fill="auto"/>
            <w:noWrap/>
            <w:vAlign w:val="bottom"/>
            <w:hideMark/>
          </w:tcPr>
          <w:p w14:paraId="37263C6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100,8</w:t>
            </w:r>
          </w:p>
        </w:tc>
        <w:tc>
          <w:tcPr>
            <w:tcW w:w="780" w:type="dxa"/>
            <w:tcBorders>
              <w:top w:val="nil"/>
              <w:left w:val="nil"/>
              <w:bottom w:val="single" w:sz="4" w:space="0" w:color="auto"/>
              <w:right w:val="single" w:sz="4" w:space="0" w:color="auto"/>
            </w:tcBorders>
            <w:shd w:val="clear" w:color="auto" w:fill="auto"/>
            <w:noWrap/>
            <w:vAlign w:val="bottom"/>
            <w:hideMark/>
          </w:tcPr>
          <w:p w14:paraId="50E78B8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103,1</w:t>
            </w:r>
          </w:p>
        </w:tc>
        <w:tc>
          <w:tcPr>
            <w:tcW w:w="700" w:type="dxa"/>
            <w:tcBorders>
              <w:top w:val="nil"/>
              <w:left w:val="nil"/>
              <w:bottom w:val="single" w:sz="4" w:space="0" w:color="auto"/>
              <w:right w:val="single" w:sz="4" w:space="0" w:color="auto"/>
            </w:tcBorders>
            <w:shd w:val="clear" w:color="auto" w:fill="auto"/>
            <w:noWrap/>
            <w:vAlign w:val="bottom"/>
            <w:hideMark/>
          </w:tcPr>
          <w:p w14:paraId="5DE1045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98,3</w:t>
            </w:r>
          </w:p>
        </w:tc>
      </w:tr>
      <w:tr w:rsidR="00D677DC" w:rsidRPr="00D677DC" w14:paraId="32889F9F"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ACF6135"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Poland</w:t>
            </w:r>
          </w:p>
        </w:tc>
        <w:tc>
          <w:tcPr>
            <w:tcW w:w="774" w:type="dxa"/>
            <w:tcBorders>
              <w:top w:val="nil"/>
              <w:left w:val="nil"/>
              <w:bottom w:val="single" w:sz="4" w:space="0" w:color="auto"/>
              <w:right w:val="single" w:sz="4" w:space="0" w:color="auto"/>
            </w:tcBorders>
            <w:shd w:val="clear" w:color="auto" w:fill="auto"/>
            <w:noWrap/>
            <w:vAlign w:val="bottom"/>
            <w:hideMark/>
          </w:tcPr>
          <w:p w14:paraId="70D0EF5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38,6</w:t>
            </w:r>
          </w:p>
        </w:tc>
        <w:tc>
          <w:tcPr>
            <w:tcW w:w="773" w:type="dxa"/>
            <w:tcBorders>
              <w:top w:val="nil"/>
              <w:left w:val="nil"/>
              <w:bottom w:val="single" w:sz="4" w:space="0" w:color="auto"/>
              <w:right w:val="single" w:sz="4" w:space="0" w:color="auto"/>
            </w:tcBorders>
            <w:shd w:val="clear" w:color="auto" w:fill="auto"/>
            <w:noWrap/>
            <w:vAlign w:val="bottom"/>
            <w:hideMark/>
          </w:tcPr>
          <w:p w14:paraId="1A7BBD1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47,4</w:t>
            </w:r>
          </w:p>
        </w:tc>
        <w:tc>
          <w:tcPr>
            <w:tcW w:w="773" w:type="dxa"/>
            <w:tcBorders>
              <w:top w:val="nil"/>
              <w:left w:val="nil"/>
              <w:bottom w:val="single" w:sz="4" w:space="0" w:color="auto"/>
              <w:right w:val="single" w:sz="4" w:space="0" w:color="auto"/>
            </w:tcBorders>
            <w:shd w:val="clear" w:color="auto" w:fill="auto"/>
            <w:noWrap/>
            <w:vAlign w:val="bottom"/>
            <w:hideMark/>
          </w:tcPr>
          <w:p w14:paraId="18111FC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56,1</w:t>
            </w:r>
          </w:p>
        </w:tc>
        <w:tc>
          <w:tcPr>
            <w:tcW w:w="780" w:type="dxa"/>
            <w:tcBorders>
              <w:top w:val="nil"/>
              <w:left w:val="nil"/>
              <w:bottom w:val="single" w:sz="4" w:space="0" w:color="auto"/>
              <w:right w:val="single" w:sz="4" w:space="0" w:color="auto"/>
            </w:tcBorders>
            <w:shd w:val="clear" w:color="auto" w:fill="auto"/>
            <w:noWrap/>
            <w:vAlign w:val="bottom"/>
            <w:hideMark/>
          </w:tcPr>
          <w:p w14:paraId="63FDC12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31,5</w:t>
            </w:r>
          </w:p>
        </w:tc>
        <w:tc>
          <w:tcPr>
            <w:tcW w:w="780" w:type="dxa"/>
            <w:tcBorders>
              <w:top w:val="nil"/>
              <w:left w:val="nil"/>
              <w:bottom w:val="single" w:sz="4" w:space="0" w:color="auto"/>
              <w:right w:val="single" w:sz="4" w:space="0" w:color="auto"/>
            </w:tcBorders>
            <w:shd w:val="clear" w:color="auto" w:fill="auto"/>
            <w:noWrap/>
            <w:vAlign w:val="bottom"/>
            <w:hideMark/>
          </w:tcPr>
          <w:p w14:paraId="18E7F28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39,7</w:t>
            </w:r>
          </w:p>
        </w:tc>
        <w:tc>
          <w:tcPr>
            <w:tcW w:w="700" w:type="dxa"/>
            <w:tcBorders>
              <w:top w:val="nil"/>
              <w:left w:val="nil"/>
              <w:bottom w:val="single" w:sz="4" w:space="0" w:color="auto"/>
              <w:right w:val="single" w:sz="4" w:space="0" w:color="auto"/>
            </w:tcBorders>
            <w:shd w:val="clear" w:color="auto" w:fill="auto"/>
            <w:noWrap/>
            <w:vAlign w:val="bottom"/>
            <w:hideMark/>
          </w:tcPr>
          <w:p w14:paraId="154FD41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42,8</w:t>
            </w:r>
          </w:p>
        </w:tc>
      </w:tr>
      <w:tr w:rsidR="00D677DC" w:rsidRPr="00D677DC" w14:paraId="6605B959"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E6056C0"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Portugal</w:t>
            </w:r>
          </w:p>
        </w:tc>
        <w:tc>
          <w:tcPr>
            <w:tcW w:w="774" w:type="dxa"/>
            <w:tcBorders>
              <w:top w:val="nil"/>
              <w:left w:val="nil"/>
              <w:bottom w:val="single" w:sz="4" w:space="0" w:color="auto"/>
              <w:right w:val="single" w:sz="4" w:space="0" w:color="auto"/>
            </w:tcBorders>
            <w:shd w:val="clear" w:color="auto" w:fill="auto"/>
            <w:noWrap/>
            <w:vAlign w:val="bottom"/>
            <w:hideMark/>
          </w:tcPr>
          <w:p w14:paraId="10ECE23D"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68,5</w:t>
            </w:r>
          </w:p>
        </w:tc>
        <w:tc>
          <w:tcPr>
            <w:tcW w:w="773" w:type="dxa"/>
            <w:tcBorders>
              <w:top w:val="nil"/>
              <w:left w:val="nil"/>
              <w:bottom w:val="single" w:sz="4" w:space="0" w:color="auto"/>
              <w:right w:val="single" w:sz="4" w:space="0" w:color="auto"/>
            </w:tcBorders>
            <w:shd w:val="clear" w:color="auto" w:fill="auto"/>
            <w:noWrap/>
            <w:vAlign w:val="bottom"/>
            <w:hideMark/>
          </w:tcPr>
          <w:p w14:paraId="6AAFF38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68,6</w:t>
            </w:r>
          </w:p>
        </w:tc>
        <w:tc>
          <w:tcPr>
            <w:tcW w:w="773" w:type="dxa"/>
            <w:tcBorders>
              <w:top w:val="nil"/>
              <w:left w:val="nil"/>
              <w:bottom w:val="single" w:sz="4" w:space="0" w:color="auto"/>
              <w:right w:val="single" w:sz="4" w:space="0" w:color="auto"/>
            </w:tcBorders>
            <w:shd w:val="clear" w:color="auto" w:fill="auto"/>
            <w:noWrap/>
            <w:vAlign w:val="bottom"/>
            <w:hideMark/>
          </w:tcPr>
          <w:p w14:paraId="7B1DA8A6"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62,2</w:t>
            </w:r>
          </w:p>
        </w:tc>
        <w:tc>
          <w:tcPr>
            <w:tcW w:w="780" w:type="dxa"/>
            <w:tcBorders>
              <w:top w:val="nil"/>
              <w:left w:val="nil"/>
              <w:bottom w:val="single" w:sz="4" w:space="0" w:color="auto"/>
              <w:right w:val="single" w:sz="4" w:space="0" w:color="auto"/>
            </w:tcBorders>
            <w:shd w:val="clear" w:color="auto" w:fill="auto"/>
            <w:noWrap/>
            <w:vAlign w:val="bottom"/>
            <w:hideMark/>
          </w:tcPr>
          <w:p w14:paraId="3BDBF41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62,6</w:t>
            </w:r>
          </w:p>
        </w:tc>
        <w:tc>
          <w:tcPr>
            <w:tcW w:w="780" w:type="dxa"/>
            <w:tcBorders>
              <w:top w:val="nil"/>
              <w:left w:val="nil"/>
              <w:bottom w:val="single" w:sz="4" w:space="0" w:color="auto"/>
              <w:right w:val="single" w:sz="4" w:space="0" w:color="auto"/>
            </w:tcBorders>
            <w:shd w:val="clear" w:color="auto" w:fill="auto"/>
            <w:noWrap/>
            <w:vAlign w:val="bottom"/>
            <w:hideMark/>
          </w:tcPr>
          <w:p w14:paraId="0031210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63,9</w:t>
            </w:r>
          </w:p>
        </w:tc>
        <w:tc>
          <w:tcPr>
            <w:tcW w:w="700" w:type="dxa"/>
            <w:tcBorders>
              <w:top w:val="nil"/>
              <w:left w:val="nil"/>
              <w:bottom w:val="single" w:sz="4" w:space="0" w:color="auto"/>
              <w:right w:val="single" w:sz="4" w:space="0" w:color="auto"/>
            </w:tcBorders>
            <w:shd w:val="clear" w:color="auto" w:fill="auto"/>
            <w:noWrap/>
            <w:vAlign w:val="bottom"/>
            <w:hideMark/>
          </w:tcPr>
          <w:p w14:paraId="77CBF1B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51,8</w:t>
            </w:r>
          </w:p>
        </w:tc>
      </w:tr>
      <w:tr w:rsidR="00D677DC" w:rsidRPr="00D677DC" w14:paraId="4FC0007D"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A483E5"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Romania</w:t>
            </w:r>
          </w:p>
        </w:tc>
        <w:tc>
          <w:tcPr>
            <w:tcW w:w="774" w:type="dxa"/>
            <w:tcBorders>
              <w:top w:val="nil"/>
              <w:left w:val="nil"/>
              <w:bottom w:val="single" w:sz="4" w:space="0" w:color="auto"/>
              <w:right w:val="single" w:sz="4" w:space="0" w:color="auto"/>
            </w:tcBorders>
            <w:shd w:val="clear" w:color="auto" w:fill="auto"/>
            <w:noWrap/>
            <w:vAlign w:val="bottom"/>
            <w:hideMark/>
          </w:tcPr>
          <w:p w14:paraId="3664A5A2"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nd</w:t>
            </w:r>
            <w:proofErr w:type="spellEnd"/>
          </w:p>
        </w:tc>
        <w:tc>
          <w:tcPr>
            <w:tcW w:w="773" w:type="dxa"/>
            <w:tcBorders>
              <w:top w:val="nil"/>
              <w:left w:val="nil"/>
              <w:bottom w:val="single" w:sz="4" w:space="0" w:color="auto"/>
              <w:right w:val="single" w:sz="4" w:space="0" w:color="auto"/>
            </w:tcBorders>
            <w:shd w:val="clear" w:color="auto" w:fill="auto"/>
            <w:noWrap/>
            <w:vAlign w:val="bottom"/>
            <w:hideMark/>
          </w:tcPr>
          <w:p w14:paraId="4E330F9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42,2</w:t>
            </w:r>
          </w:p>
        </w:tc>
        <w:tc>
          <w:tcPr>
            <w:tcW w:w="773" w:type="dxa"/>
            <w:tcBorders>
              <w:top w:val="nil"/>
              <w:left w:val="nil"/>
              <w:bottom w:val="single" w:sz="4" w:space="0" w:color="auto"/>
              <w:right w:val="single" w:sz="4" w:space="0" w:color="auto"/>
            </w:tcBorders>
            <w:shd w:val="clear" w:color="auto" w:fill="auto"/>
            <w:noWrap/>
            <w:vAlign w:val="bottom"/>
            <w:hideMark/>
          </w:tcPr>
          <w:p w14:paraId="17EA089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47,8</w:t>
            </w:r>
          </w:p>
        </w:tc>
        <w:tc>
          <w:tcPr>
            <w:tcW w:w="780" w:type="dxa"/>
            <w:tcBorders>
              <w:top w:val="nil"/>
              <w:left w:val="nil"/>
              <w:bottom w:val="single" w:sz="4" w:space="0" w:color="auto"/>
              <w:right w:val="single" w:sz="4" w:space="0" w:color="auto"/>
            </w:tcBorders>
            <w:shd w:val="clear" w:color="auto" w:fill="auto"/>
            <w:noWrap/>
            <w:vAlign w:val="bottom"/>
            <w:hideMark/>
          </w:tcPr>
          <w:p w14:paraId="085888E9"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nd</w:t>
            </w:r>
            <w:proofErr w:type="spellEnd"/>
          </w:p>
        </w:tc>
        <w:tc>
          <w:tcPr>
            <w:tcW w:w="780" w:type="dxa"/>
            <w:tcBorders>
              <w:top w:val="nil"/>
              <w:left w:val="nil"/>
              <w:bottom w:val="single" w:sz="4" w:space="0" w:color="auto"/>
              <w:right w:val="single" w:sz="4" w:space="0" w:color="auto"/>
            </w:tcBorders>
            <w:shd w:val="clear" w:color="auto" w:fill="auto"/>
            <w:noWrap/>
            <w:vAlign w:val="bottom"/>
            <w:hideMark/>
          </w:tcPr>
          <w:p w14:paraId="47891661"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35,1</w:t>
            </w:r>
          </w:p>
        </w:tc>
        <w:tc>
          <w:tcPr>
            <w:tcW w:w="700" w:type="dxa"/>
            <w:tcBorders>
              <w:top w:val="nil"/>
              <w:left w:val="nil"/>
              <w:bottom w:val="single" w:sz="4" w:space="0" w:color="auto"/>
              <w:right w:val="single" w:sz="4" w:space="0" w:color="auto"/>
            </w:tcBorders>
            <w:shd w:val="clear" w:color="auto" w:fill="auto"/>
            <w:noWrap/>
            <w:vAlign w:val="bottom"/>
            <w:hideMark/>
          </w:tcPr>
          <w:p w14:paraId="712C68D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33,5</w:t>
            </w:r>
          </w:p>
        </w:tc>
      </w:tr>
      <w:tr w:rsidR="00D677DC" w:rsidRPr="00D677DC" w14:paraId="5884852E"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DF8E5C"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Slovenia</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026515D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65,6</w:t>
            </w:r>
          </w:p>
        </w:tc>
        <w:tc>
          <w:tcPr>
            <w:tcW w:w="773" w:type="dxa"/>
            <w:tcBorders>
              <w:top w:val="nil"/>
              <w:left w:val="nil"/>
              <w:bottom w:val="single" w:sz="4" w:space="0" w:color="auto"/>
              <w:right w:val="single" w:sz="4" w:space="0" w:color="auto"/>
            </w:tcBorders>
            <w:shd w:val="clear" w:color="auto" w:fill="auto"/>
            <w:noWrap/>
            <w:vAlign w:val="bottom"/>
            <w:hideMark/>
          </w:tcPr>
          <w:p w14:paraId="7B02EE2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76,5</w:t>
            </w:r>
          </w:p>
        </w:tc>
        <w:tc>
          <w:tcPr>
            <w:tcW w:w="773" w:type="dxa"/>
            <w:tcBorders>
              <w:top w:val="nil"/>
              <w:left w:val="nil"/>
              <w:bottom w:val="single" w:sz="4" w:space="0" w:color="auto"/>
              <w:right w:val="single" w:sz="4" w:space="0" w:color="auto"/>
            </w:tcBorders>
            <w:shd w:val="clear" w:color="auto" w:fill="auto"/>
            <w:noWrap/>
            <w:vAlign w:val="bottom"/>
            <w:hideMark/>
          </w:tcPr>
          <w:p w14:paraId="3A785333"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67,8</w:t>
            </w:r>
          </w:p>
        </w:tc>
        <w:tc>
          <w:tcPr>
            <w:tcW w:w="780" w:type="dxa"/>
            <w:tcBorders>
              <w:top w:val="nil"/>
              <w:left w:val="nil"/>
              <w:bottom w:val="single" w:sz="4" w:space="0" w:color="auto"/>
              <w:right w:val="single" w:sz="4" w:space="0" w:color="auto"/>
            </w:tcBorders>
            <w:shd w:val="clear" w:color="auto" w:fill="auto"/>
            <w:noWrap/>
            <w:vAlign w:val="bottom"/>
            <w:hideMark/>
          </w:tcPr>
          <w:p w14:paraId="351C991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68,2</w:t>
            </w:r>
          </w:p>
        </w:tc>
        <w:tc>
          <w:tcPr>
            <w:tcW w:w="780" w:type="dxa"/>
            <w:tcBorders>
              <w:top w:val="nil"/>
              <w:left w:val="nil"/>
              <w:bottom w:val="single" w:sz="4" w:space="0" w:color="auto"/>
              <w:right w:val="single" w:sz="4" w:space="0" w:color="auto"/>
            </w:tcBorders>
            <w:shd w:val="clear" w:color="auto" w:fill="auto"/>
            <w:noWrap/>
            <w:vAlign w:val="bottom"/>
            <w:hideMark/>
          </w:tcPr>
          <w:p w14:paraId="25296E0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83,7</w:t>
            </w:r>
          </w:p>
        </w:tc>
        <w:tc>
          <w:tcPr>
            <w:tcW w:w="700" w:type="dxa"/>
            <w:tcBorders>
              <w:top w:val="nil"/>
              <w:left w:val="nil"/>
              <w:bottom w:val="single" w:sz="4" w:space="0" w:color="auto"/>
              <w:right w:val="single" w:sz="4" w:space="0" w:color="auto"/>
            </w:tcBorders>
            <w:shd w:val="clear" w:color="auto" w:fill="auto"/>
            <w:noWrap/>
            <w:vAlign w:val="bottom"/>
            <w:hideMark/>
          </w:tcPr>
          <w:p w14:paraId="416EF39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68,9</w:t>
            </w:r>
          </w:p>
        </w:tc>
      </w:tr>
      <w:tr w:rsidR="00D677DC" w:rsidRPr="00D677DC" w14:paraId="0B671917"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EF629EC"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Slovakia</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74B3385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41,1</w:t>
            </w:r>
          </w:p>
        </w:tc>
        <w:tc>
          <w:tcPr>
            <w:tcW w:w="773" w:type="dxa"/>
            <w:tcBorders>
              <w:top w:val="nil"/>
              <w:left w:val="nil"/>
              <w:bottom w:val="single" w:sz="4" w:space="0" w:color="auto"/>
              <w:right w:val="single" w:sz="4" w:space="0" w:color="auto"/>
            </w:tcBorders>
            <w:shd w:val="clear" w:color="auto" w:fill="auto"/>
            <w:noWrap/>
            <w:vAlign w:val="bottom"/>
            <w:hideMark/>
          </w:tcPr>
          <w:p w14:paraId="1A86753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60,8</w:t>
            </w:r>
          </w:p>
        </w:tc>
        <w:tc>
          <w:tcPr>
            <w:tcW w:w="773" w:type="dxa"/>
            <w:tcBorders>
              <w:top w:val="nil"/>
              <w:left w:val="nil"/>
              <w:bottom w:val="single" w:sz="4" w:space="0" w:color="auto"/>
              <w:right w:val="single" w:sz="4" w:space="0" w:color="auto"/>
            </w:tcBorders>
            <w:shd w:val="clear" w:color="auto" w:fill="auto"/>
            <w:noWrap/>
            <w:vAlign w:val="bottom"/>
            <w:hideMark/>
          </w:tcPr>
          <w:p w14:paraId="334CB88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62,5</w:t>
            </w:r>
          </w:p>
        </w:tc>
        <w:tc>
          <w:tcPr>
            <w:tcW w:w="780" w:type="dxa"/>
            <w:tcBorders>
              <w:top w:val="nil"/>
              <w:left w:val="nil"/>
              <w:bottom w:val="single" w:sz="4" w:space="0" w:color="auto"/>
              <w:right w:val="single" w:sz="4" w:space="0" w:color="auto"/>
            </w:tcBorders>
            <w:shd w:val="clear" w:color="auto" w:fill="auto"/>
            <w:noWrap/>
            <w:vAlign w:val="bottom"/>
            <w:hideMark/>
          </w:tcPr>
          <w:p w14:paraId="2150915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30,2</w:t>
            </w:r>
          </w:p>
        </w:tc>
        <w:tc>
          <w:tcPr>
            <w:tcW w:w="780" w:type="dxa"/>
            <w:tcBorders>
              <w:top w:val="nil"/>
              <w:left w:val="nil"/>
              <w:bottom w:val="single" w:sz="4" w:space="0" w:color="auto"/>
              <w:right w:val="single" w:sz="4" w:space="0" w:color="auto"/>
            </w:tcBorders>
            <w:shd w:val="clear" w:color="auto" w:fill="auto"/>
            <w:noWrap/>
            <w:vAlign w:val="bottom"/>
            <w:hideMark/>
          </w:tcPr>
          <w:p w14:paraId="2AE4EFE8"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42,2</w:t>
            </w:r>
          </w:p>
        </w:tc>
        <w:tc>
          <w:tcPr>
            <w:tcW w:w="700" w:type="dxa"/>
            <w:tcBorders>
              <w:top w:val="nil"/>
              <w:left w:val="nil"/>
              <w:bottom w:val="single" w:sz="4" w:space="0" w:color="auto"/>
              <w:right w:val="single" w:sz="4" w:space="0" w:color="auto"/>
            </w:tcBorders>
            <w:shd w:val="clear" w:color="auto" w:fill="auto"/>
            <w:noWrap/>
            <w:vAlign w:val="bottom"/>
            <w:hideMark/>
          </w:tcPr>
          <w:p w14:paraId="2BD4525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45,4</w:t>
            </w:r>
          </w:p>
        </w:tc>
      </w:tr>
      <w:tr w:rsidR="00D677DC" w:rsidRPr="00D677DC" w14:paraId="1D476513"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D3A4028"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Finland</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0EBBE5D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97,1</w:t>
            </w:r>
          </w:p>
        </w:tc>
        <w:tc>
          <w:tcPr>
            <w:tcW w:w="773" w:type="dxa"/>
            <w:tcBorders>
              <w:top w:val="nil"/>
              <w:left w:val="nil"/>
              <w:bottom w:val="single" w:sz="4" w:space="0" w:color="auto"/>
              <w:right w:val="single" w:sz="4" w:space="0" w:color="auto"/>
            </w:tcBorders>
            <w:shd w:val="clear" w:color="auto" w:fill="auto"/>
            <w:noWrap/>
            <w:vAlign w:val="bottom"/>
            <w:hideMark/>
          </w:tcPr>
          <w:p w14:paraId="596E5D5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103,3</w:t>
            </w:r>
          </w:p>
        </w:tc>
        <w:tc>
          <w:tcPr>
            <w:tcW w:w="773" w:type="dxa"/>
            <w:tcBorders>
              <w:top w:val="nil"/>
              <w:left w:val="nil"/>
              <w:bottom w:val="single" w:sz="4" w:space="0" w:color="auto"/>
              <w:right w:val="single" w:sz="4" w:space="0" w:color="auto"/>
            </w:tcBorders>
            <w:shd w:val="clear" w:color="auto" w:fill="auto"/>
            <w:noWrap/>
            <w:vAlign w:val="bottom"/>
            <w:hideMark/>
          </w:tcPr>
          <w:p w14:paraId="7A00082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88,1</w:t>
            </w:r>
          </w:p>
        </w:tc>
        <w:tc>
          <w:tcPr>
            <w:tcW w:w="780" w:type="dxa"/>
            <w:tcBorders>
              <w:top w:val="nil"/>
              <w:left w:val="nil"/>
              <w:bottom w:val="single" w:sz="4" w:space="0" w:color="auto"/>
              <w:right w:val="single" w:sz="4" w:space="0" w:color="auto"/>
            </w:tcBorders>
            <w:shd w:val="clear" w:color="auto" w:fill="auto"/>
            <w:noWrap/>
            <w:vAlign w:val="bottom"/>
            <w:hideMark/>
          </w:tcPr>
          <w:p w14:paraId="6E45C4CA"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85,8</w:t>
            </w:r>
          </w:p>
        </w:tc>
        <w:tc>
          <w:tcPr>
            <w:tcW w:w="780" w:type="dxa"/>
            <w:tcBorders>
              <w:top w:val="nil"/>
              <w:left w:val="nil"/>
              <w:bottom w:val="single" w:sz="4" w:space="0" w:color="auto"/>
              <w:right w:val="single" w:sz="4" w:space="0" w:color="auto"/>
            </w:tcBorders>
            <w:shd w:val="clear" w:color="auto" w:fill="auto"/>
            <w:noWrap/>
            <w:vAlign w:val="bottom"/>
            <w:hideMark/>
          </w:tcPr>
          <w:p w14:paraId="059B66B5"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100,4</w:t>
            </w:r>
          </w:p>
        </w:tc>
        <w:tc>
          <w:tcPr>
            <w:tcW w:w="700" w:type="dxa"/>
            <w:tcBorders>
              <w:top w:val="nil"/>
              <w:left w:val="nil"/>
              <w:bottom w:val="single" w:sz="4" w:space="0" w:color="auto"/>
              <w:right w:val="single" w:sz="4" w:space="0" w:color="auto"/>
            </w:tcBorders>
            <w:shd w:val="clear" w:color="auto" w:fill="auto"/>
            <w:noWrap/>
            <w:vAlign w:val="bottom"/>
            <w:hideMark/>
          </w:tcPr>
          <w:p w14:paraId="35BFE1D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82,8</w:t>
            </w:r>
          </w:p>
        </w:tc>
      </w:tr>
      <w:tr w:rsidR="00D677DC" w:rsidRPr="00D677DC" w14:paraId="3631BA4A"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6FD4253" w14:textId="77777777" w:rsidR="00D677DC" w:rsidRPr="00D677DC" w:rsidRDefault="00D677DC" w:rsidP="00D677DC">
            <w:pPr>
              <w:spacing w:after="0" w:line="240" w:lineRule="auto"/>
              <w:rPr>
                <w:rFonts w:ascii="Calibri" w:eastAsia="Times New Roman" w:hAnsi="Calibri" w:cs="Calibri"/>
                <w:color w:val="000000"/>
                <w:lang w:val="pl-PL" w:eastAsia="pl-PL"/>
              </w:rPr>
            </w:pPr>
            <w:proofErr w:type="spellStart"/>
            <w:r w:rsidRPr="00D677DC">
              <w:rPr>
                <w:rFonts w:ascii="Calibri" w:eastAsia="Times New Roman" w:hAnsi="Calibri" w:cs="Calibri"/>
                <w:color w:val="000000"/>
                <w:lang w:val="pl-PL" w:eastAsia="pl-PL"/>
              </w:rPr>
              <w:t>Sweden</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4CE63B6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106,2</w:t>
            </w:r>
          </w:p>
        </w:tc>
        <w:tc>
          <w:tcPr>
            <w:tcW w:w="773" w:type="dxa"/>
            <w:tcBorders>
              <w:top w:val="nil"/>
              <w:left w:val="nil"/>
              <w:bottom w:val="single" w:sz="4" w:space="0" w:color="auto"/>
              <w:right w:val="single" w:sz="4" w:space="0" w:color="auto"/>
            </w:tcBorders>
            <w:shd w:val="clear" w:color="auto" w:fill="auto"/>
            <w:noWrap/>
            <w:vAlign w:val="bottom"/>
            <w:hideMark/>
          </w:tcPr>
          <w:p w14:paraId="3780A7D2"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108,2</w:t>
            </w:r>
          </w:p>
        </w:tc>
        <w:tc>
          <w:tcPr>
            <w:tcW w:w="773" w:type="dxa"/>
            <w:tcBorders>
              <w:top w:val="nil"/>
              <w:left w:val="nil"/>
              <w:bottom w:val="single" w:sz="4" w:space="0" w:color="auto"/>
              <w:right w:val="single" w:sz="4" w:space="0" w:color="auto"/>
            </w:tcBorders>
            <w:shd w:val="clear" w:color="auto" w:fill="auto"/>
            <w:noWrap/>
            <w:vAlign w:val="bottom"/>
            <w:hideMark/>
          </w:tcPr>
          <w:p w14:paraId="5DB2E3E0"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100,3</w:t>
            </w:r>
          </w:p>
        </w:tc>
        <w:tc>
          <w:tcPr>
            <w:tcW w:w="780" w:type="dxa"/>
            <w:tcBorders>
              <w:top w:val="nil"/>
              <w:left w:val="nil"/>
              <w:bottom w:val="single" w:sz="4" w:space="0" w:color="auto"/>
              <w:right w:val="single" w:sz="4" w:space="0" w:color="auto"/>
            </w:tcBorders>
            <w:shd w:val="clear" w:color="auto" w:fill="auto"/>
            <w:noWrap/>
            <w:vAlign w:val="bottom"/>
            <w:hideMark/>
          </w:tcPr>
          <w:p w14:paraId="32DCF83E"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97,9</w:t>
            </w:r>
          </w:p>
        </w:tc>
        <w:tc>
          <w:tcPr>
            <w:tcW w:w="780" w:type="dxa"/>
            <w:tcBorders>
              <w:top w:val="nil"/>
              <w:left w:val="nil"/>
              <w:bottom w:val="single" w:sz="4" w:space="0" w:color="auto"/>
              <w:right w:val="single" w:sz="4" w:space="0" w:color="auto"/>
            </w:tcBorders>
            <w:shd w:val="clear" w:color="auto" w:fill="auto"/>
            <w:noWrap/>
            <w:vAlign w:val="bottom"/>
            <w:hideMark/>
          </w:tcPr>
          <w:p w14:paraId="622C43A1"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106,2</w:t>
            </w:r>
          </w:p>
        </w:tc>
        <w:tc>
          <w:tcPr>
            <w:tcW w:w="700" w:type="dxa"/>
            <w:tcBorders>
              <w:top w:val="nil"/>
              <w:left w:val="nil"/>
              <w:bottom w:val="single" w:sz="4" w:space="0" w:color="auto"/>
              <w:right w:val="single" w:sz="4" w:space="0" w:color="auto"/>
            </w:tcBorders>
            <w:shd w:val="clear" w:color="auto" w:fill="auto"/>
            <w:noWrap/>
            <w:vAlign w:val="bottom"/>
            <w:hideMark/>
          </w:tcPr>
          <w:p w14:paraId="572B60E9"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94,3</w:t>
            </w:r>
          </w:p>
        </w:tc>
      </w:tr>
      <w:tr w:rsidR="00D677DC" w:rsidRPr="00D677DC" w14:paraId="4AC10DA7" w14:textId="77777777" w:rsidTr="00D677DC">
        <w:trPr>
          <w:trHeight w:val="29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CC47516" w14:textId="77777777" w:rsidR="00D677DC" w:rsidRPr="00D677DC" w:rsidRDefault="00D677DC" w:rsidP="00D677DC">
            <w:pPr>
              <w:spacing w:after="0" w:line="240" w:lineRule="auto"/>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 xml:space="preserve">United </w:t>
            </w:r>
            <w:proofErr w:type="spellStart"/>
            <w:r w:rsidRPr="00D677DC">
              <w:rPr>
                <w:rFonts w:ascii="Calibri" w:eastAsia="Times New Roman" w:hAnsi="Calibri" w:cs="Calibri"/>
                <w:color w:val="000000"/>
                <w:lang w:val="pl-PL" w:eastAsia="pl-PL"/>
              </w:rPr>
              <w:t>Kingdom</w:t>
            </w:r>
            <w:proofErr w:type="spellEnd"/>
          </w:p>
        </w:tc>
        <w:tc>
          <w:tcPr>
            <w:tcW w:w="774" w:type="dxa"/>
            <w:tcBorders>
              <w:top w:val="nil"/>
              <w:left w:val="nil"/>
              <w:bottom w:val="single" w:sz="4" w:space="0" w:color="auto"/>
              <w:right w:val="single" w:sz="4" w:space="0" w:color="auto"/>
            </w:tcBorders>
            <w:shd w:val="clear" w:color="auto" w:fill="auto"/>
            <w:noWrap/>
            <w:vAlign w:val="bottom"/>
            <w:hideMark/>
          </w:tcPr>
          <w:p w14:paraId="07CC9C6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95,4</w:t>
            </w:r>
          </w:p>
        </w:tc>
        <w:tc>
          <w:tcPr>
            <w:tcW w:w="773" w:type="dxa"/>
            <w:tcBorders>
              <w:top w:val="nil"/>
              <w:left w:val="nil"/>
              <w:bottom w:val="single" w:sz="4" w:space="0" w:color="auto"/>
              <w:right w:val="single" w:sz="4" w:space="0" w:color="auto"/>
            </w:tcBorders>
            <w:shd w:val="clear" w:color="auto" w:fill="auto"/>
            <w:noWrap/>
            <w:vAlign w:val="bottom"/>
            <w:hideMark/>
          </w:tcPr>
          <w:p w14:paraId="4F997D07"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93,5</w:t>
            </w:r>
          </w:p>
        </w:tc>
        <w:tc>
          <w:tcPr>
            <w:tcW w:w="773" w:type="dxa"/>
            <w:tcBorders>
              <w:top w:val="nil"/>
              <w:left w:val="nil"/>
              <w:bottom w:val="single" w:sz="4" w:space="0" w:color="auto"/>
              <w:right w:val="single" w:sz="4" w:space="0" w:color="auto"/>
            </w:tcBorders>
            <w:shd w:val="clear" w:color="auto" w:fill="auto"/>
            <w:noWrap/>
            <w:vAlign w:val="bottom"/>
            <w:hideMark/>
          </w:tcPr>
          <w:p w14:paraId="4E5E4C4F"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87,5</w:t>
            </w:r>
          </w:p>
        </w:tc>
        <w:tc>
          <w:tcPr>
            <w:tcW w:w="780" w:type="dxa"/>
            <w:tcBorders>
              <w:top w:val="nil"/>
              <w:left w:val="nil"/>
              <w:bottom w:val="single" w:sz="4" w:space="0" w:color="auto"/>
              <w:right w:val="single" w:sz="4" w:space="0" w:color="auto"/>
            </w:tcBorders>
            <w:shd w:val="clear" w:color="auto" w:fill="auto"/>
            <w:noWrap/>
            <w:vAlign w:val="bottom"/>
            <w:hideMark/>
          </w:tcPr>
          <w:p w14:paraId="12A2599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97</w:t>
            </w:r>
          </w:p>
        </w:tc>
        <w:tc>
          <w:tcPr>
            <w:tcW w:w="780" w:type="dxa"/>
            <w:tcBorders>
              <w:top w:val="nil"/>
              <w:left w:val="nil"/>
              <w:bottom w:val="single" w:sz="4" w:space="0" w:color="auto"/>
              <w:right w:val="single" w:sz="4" w:space="0" w:color="auto"/>
            </w:tcBorders>
            <w:shd w:val="clear" w:color="auto" w:fill="auto"/>
            <w:noWrap/>
            <w:vAlign w:val="bottom"/>
            <w:hideMark/>
          </w:tcPr>
          <w:p w14:paraId="7953454C"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100,4</w:t>
            </w:r>
          </w:p>
        </w:tc>
        <w:tc>
          <w:tcPr>
            <w:tcW w:w="700" w:type="dxa"/>
            <w:tcBorders>
              <w:top w:val="nil"/>
              <w:left w:val="nil"/>
              <w:bottom w:val="single" w:sz="4" w:space="0" w:color="auto"/>
              <w:right w:val="single" w:sz="4" w:space="0" w:color="auto"/>
            </w:tcBorders>
            <w:shd w:val="clear" w:color="auto" w:fill="auto"/>
            <w:noWrap/>
            <w:vAlign w:val="bottom"/>
            <w:hideMark/>
          </w:tcPr>
          <w:p w14:paraId="0A968034" w14:textId="77777777" w:rsidR="00D677DC" w:rsidRPr="00D677DC" w:rsidRDefault="00D677DC" w:rsidP="00D677DC">
            <w:pPr>
              <w:spacing w:after="0" w:line="240" w:lineRule="auto"/>
              <w:jc w:val="right"/>
              <w:rPr>
                <w:rFonts w:ascii="Calibri" w:eastAsia="Times New Roman" w:hAnsi="Calibri" w:cs="Calibri"/>
                <w:color w:val="000000"/>
                <w:lang w:val="pl-PL" w:eastAsia="pl-PL"/>
              </w:rPr>
            </w:pPr>
            <w:r w:rsidRPr="00D677DC">
              <w:rPr>
                <w:rFonts w:ascii="Calibri" w:eastAsia="Times New Roman" w:hAnsi="Calibri" w:cs="Calibri"/>
                <w:color w:val="000000"/>
                <w:lang w:val="pl-PL" w:eastAsia="pl-PL"/>
              </w:rPr>
              <w:t>86,2</w:t>
            </w:r>
          </w:p>
        </w:tc>
      </w:tr>
    </w:tbl>
    <w:p w14:paraId="647996F3" w14:textId="0C6A106D" w:rsidR="00D677DC" w:rsidRPr="00AB56A1" w:rsidRDefault="00D677DC" w:rsidP="00AB05A6">
      <w:pPr>
        <w:spacing w:after="0" w:line="360" w:lineRule="auto"/>
        <w:ind w:firstLine="708"/>
        <w:jc w:val="both"/>
        <w:rPr>
          <w:rFonts w:ascii="Times New Roman" w:eastAsia="Times New Roman" w:hAnsi="Times New Roman" w:cs="Times New Roman"/>
          <w:b/>
          <w:sz w:val="24"/>
          <w:szCs w:val="24"/>
        </w:rPr>
      </w:pPr>
      <w:r>
        <w:rPr>
          <w:rFonts w:ascii="Times New Roman" w:hAnsi="Times New Roman"/>
          <w:b/>
          <w:sz w:val="24"/>
          <w:szCs w:val="24"/>
        </w:rPr>
        <w:fldChar w:fldCharType="end"/>
      </w:r>
    </w:p>
    <w:p w14:paraId="1F80D1F4" w14:textId="4FA70272" w:rsidR="00554645" w:rsidRPr="00AB56A1" w:rsidRDefault="00554645" w:rsidP="00AB05A6">
      <w:pPr>
        <w:spacing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 </w:t>
      </w:r>
      <w:r w:rsidR="00C337AF" w:rsidRPr="00AB56A1">
        <w:rPr>
          <w:rFonts w:ascii="Times New Roman" w:hAnsi="Times New Roman"/>
          <w:sz w:val="24"/>
          <w:szCs w:val="24"/>
        </w:rPr>
        <w:t>Source: Own calculations based on Eurostat data</w:t>
      </w:r>
    </w:p>
    <w:p w14:paraId="2C032EDF" w14:textId="77777777" w:rsidR="00F304C4" w:rsidRPr="00AB56A1" w:rsidRDefault="00F304C4" w:rsidP="00AB05A6">
      <w:pPr>
        <w:spacing w:after="0" w:line="360" w:lineRule="auto"/>
        <w:ind w:firstLine="708"/>
        <w:jc w:val="both"/>
        <w:rPr>
          <w:rFonts w:ascii="Times New Roman" w:eastAsia="Times New Roman" w:hAnsi="Times New Roman" w:cs="Times New Roman"/>
          <w:sz w:val="24"/>
          <w:szCs w:val="24"/>
        </w:rPr>
      </w:pPr>
    </w:p>
    <w:p w14:paraId="1129E174" w14:textId="338C60D0" w:rsidR="00F304C4" w:rsidRDefault="00F304C4" w:rsidP="00AB05A6">
      <w:pPr>
        <w:spacing w:after="0" w:line="360" w:lineRule="auto"/>
        <w:ind w:firstLine="708"/>
        <w:jc w:val="both"/>
        <w:rPr>
          <w:rFonts w:ascii="Times New Roman" w:hAnsi="Times New Roman"/>
          <w:sz w:val="24"/>
          <w:szCs w:val="24"/>
        </w:rPr>
      </w:pPr>
      <w:r w:rsidRPr="00AB56A1">
        <w:rPr>
          <w:rFonts w:ascii="Times New Roman" w:hAnsi="Times New Roman"/>
          <w:sz w:val="24"/>
          <w:szCs w:val="24"/>
        </w:rPr>
        <w:t xml:space="preserve">The presented comparison reveals that the convergence of income levels between EU countries is higher if we measure it with the salary level </w:t>
      </w:r>
      <w:r w:rsidR="00CE68A4">
        <w:rPr>
          <w:rFonts w:ascii="Times New Roman" w:hAnsi="Times New Roman"/>
          <w:sz w:val="24"/>
          <w:szCs w:val="24"/>
        </w:rPr>
        <w:t xml:space="preserve">rather </w:t>
      </w:r>
      <w:r w:rsidRPr="00AB56A1">
        <w:rPr>
          <w:rFonts w:ascii="Times New Roman" w:hAnsi="Times New Roman"/>
          <w:sz w:val="24"/>
          <w:szCs w:val="24"/>
        </w:rPr>
        <w:t xml:space="preserve">than with the GDP pc. We can be happy about such results – since the GDP is just an abstract indicator, while salaries determine an actual level of remuneration for the employees, so they reflect the differences in </w:t>
      </w:r>
      <w:r w:rsidR="00CE68A4">
        <w:rPr>
          <w:rFonts w:ascii="Times New Roman" w:hAnsi="Times New Roman"/>
          <w:sz w:val="24"/>
          <w:szCs w:val="24"/>
        </w:rPr>
        <w:t xml:space="preserve">the </w:t>
      </w:r>
      <w:r w:rsidRPr="00AB56A1">
        <w:rPr>
          <w:rFonts w:ascii="Times New Roman" w:hAnsi="Times New Roman"/>
          <w:sz w:val="24"/>
          <w:szCs w:val="24"/>
        </w:rPr>
        <w:t xml:space="preserve">quality of life between specific countries in a much better way. Such great differences in salary dynamics within the common currency area must have </w:t>
      </w:r>
      <w:r w:rsidR="00CE68A4">
        <w:rPr>
          <w:rFonts w:ascii="Times New Roman" w:hAnsi="Times New Roman"/>
          <w:sz w:val="24"/>
          <w:szCs w:val="24"/>
        </w:rPr>
        <w:t xml:space="preserve">an </w:t>
      </w:r>
      <w:r w:rsidRPr="00AB56A1">
        <w:rPr>
          <w:rFonts w:ascii="Times New Roman" w:hAnsi="Times New Roman"/>
          <w:sz w:val="24"/>
          <w:szCs w:val="24"/>
        </w:rPr>
        <w:t>impact on the macroeconomic stability.</w:t>
      </w:r>
    </w:p>
    <w:p w14:paraId="520EC427" w14:textId="77777777" w:rsidR="000445BA" w:rsidRPr="000445BA" w:rsidRDefault="000445BA" w:rsidP="000445BA">
      <w:pPr>
        <w:spacing w:after="0" w:line="360" w:lineRule="auto"/>
        <w:ind w:firstLine="708"/>
        <w:jc w:val="both"/>
        <w:rPr>
          <w:rFonts w:ascii="Times New Roman" w:hAnsi="Times New Roman"/>
          <w:sz w:val="24"/>
          <w:szCs w:val="24"/>
          <w:lang w:val="en-AU"/>
        </w:rPr>
      </w:pPr>
      <w:r w:rsidRPr="000445BA">
        <w:rPr>
          <w:rFonts w:ascii="Times New Roman" w:hAnsi="Times New Roman"/>
          <w:sz w:val="24"/>
          <w:szCs w:val="24"/>
          <w:lang w:val="en-AU"/>
        </w:rPr>
        <w:lastRenderedPageBreak/>
        <w:t>Macroeconomic imbalances were growing – stagnation in salaries in Northern countries creates demand barrier, so current account surplus was accumulated to be invested in the Southern countries and in the new member states especially those which use fixed exchange currency regime. Current accounts deficits in Spain, Portugal, Greece or Baltic countries achieved level of almost 20% of GDP what financed fast economic growth but on the cost of growing imbalances like real estate bubble in Spain or huge budget deficit in Greece (</w:t>
      </w:r>
      <w:proofErr w:type="spellStart"/>
      <w:r w:rsidRPr="000445BA">
        <w:rPr>
          <w:rFonts w:ascii="Times New Roman" w:hAnsi="Times New Roman"/>
          <w:sz w:val="24"/>
          <w:szCs w:val="24"/>
          <w:lang w:val="en-AU"/>
        </w:rPr>
        <w:t>Jaumotte</w:t>
      </w:r>
      <w:proofErr w:type="spellEnd"/>
      <w:r w:rsidRPr="000445BA">
        <w:rPr>
          <w:rFonts w:ascii="Times New Roman" w:hAnsi="Times New Roman"/>
          <w:sz w:val="24"/>
          <w:szCs w:val="24"/>
          <w:lang w:val="en-AU"/>
        </w:rPr>
        <w:t xml:space="preserve">, </w:t>
      </w:r>
      <w:proofErr w:type="spellStart"/>
      <w:r w:rsidRPr="000445BA">
        <w:rPr>
          <w:rFonts w:ascii="Times New Roman" w:hAnsi="Times New Roman"/>
          <w:sz w:val="24"/>
          <w:szCs w:val="24"/>
          <w:lang w:val="en-AU"/>
        </w:rPr>
        <w:t>Sodsriwiboon</w:t>
      </w:r>
      <w:proofErr w:type="spellEnd"/>
      <w:r w:rsidRPr="000445BA">
        <w:rPr>
          <w:rFonts w:ascii="Times New Roman" w:hAnsi="Times New Roman"/>
          <w:sz w:val="24"/>
          <w:szCs w:val="24"/>
          <w:lang w:val="en-AU"/>
        </w:rPr>
        <w:t xml:space="preserve"> 2010). Financial crisis in year 2008 showed how danger for economic stability can be theses imbalances – economies with structural current account deficits experienced severe recession what increased the development gap between EU economies. In the case of euro-zone member the only way of increasing international competitiveness is so called internal devaluation (combination of stable exchange rate and fall in salaries) what has been taking place in Spain or Greece what means that income gap between EU countries started to grow (</w:t>
      </w:r>
      <w:proofErr w:type="spellStart"/>
      <w:r w:rsidRPr="000445BA">
        <w:rPr>
          <w:rFonts w:ascii="Times New Roman" w:hAnsi="Times New Roman"/>
          <w:sz w:val="24"/>
          <w:szCs w:val="24"/>
          <w:lang w:val="en-AU"/>
        </w:rPr>
        <w:t>Decressin</w:t>
      </w:r>
      <w:proofErr w:type="spellEnd"/>
      <w:r w:rsidRPr="000445BA">
        <w:rPr>
          <w:rFonts w:ascii="Times New Roman" w:hAnsi="Times New Roman"/>
          <w:sz w:val="24"/>
          <w:szCs w:val="24"/>
          <w:lang w:val="en-AU"/>
        </w:rPr>
        <w:t xml:space="preserve"> et. al, 2015). As we see, adjustment took place, but it was very painful. Spain, Greece, Portugal or Baltic economies experiences in the same time: huge fall in GDP, decline in wages and rise in the level of unemployment.</w:t>
      </w:r>
    </w:p>
    <w:p w14:paraId="1B87F359" w14:textId="77777777" w:rsidR="000445BA" w:rsidRPr="000445BA" w:rsidRDefault="000445BA" w:rsidP="000445BA">
      <w:pPr>
        <w:spacing w:after="0" w:line="360" w:lineRule="auto"/>
        <w:ind w:firstLine="708"/>
        <w:jc w:val="both"/>
        <w:rPr>
          <w:rFonts w:ascii="Times New Roman" w:hAnsi="Times New Roman"/>
          <w:sz w:val="24"/>
          <w:szCs w:val="24"/>
          <w:lang w:val="en-AU"/>
        </w:rPr>
      </w:pPr>
      <w:r w:rsidRPr="000445BA">
        <w:rPr>
          <w:rFonts w:ascii="Times New Roman" w:hAnsi="Times New Roman"/>
          <w:sz w:val="24"/>
          <w:szCs w:val="24"/>
          <w:lang w:val="en-AU"/>
        </w:rPr>
        <w:t xml:space="preserve">By the way, some structural </w:t>
      </w:r>
      <w:proofErr w:type="spellStart"/>
      <w:r w:rsidRPr="000445BA">
        <w:rPr>
          <w:rFonts w:ascii="Times New Roman" w:hAnsi="Times New Roman"/>
          <w:sz w:val="24"/>
          <w:szCs w:val="24"/>
          <w:lang w:val="en-AU"/>
        </w:rPr>
        <w:t>weakneses</w:t>
      </w:r>
      <w:proofErr w:type="spellEnd"/>
      <w:r w:rsidRPr="000445BA">
        <w:rPr>
          <w:rFonts w:ascii="Times New Roman" w:hAnsi="Times New Roman"/>
          <w:sz w:val="24"/>
          <w:szCs w:val="24"/>
          <w:lang w:val="en-AU"/>
        </w:rPr>
        <w:t xml:space="preserve"> of euro-zone were noticed. Quite limited mobility of the labour force between EU countries make that there are huge differences between national labour markets and hysteresis effect (unemployment level is not declining even if recession is over) is much stronger in the EU than in USA (Dao, </w:t>
      </w:r>
      <w:proofErr w:type="spellStart"/>
      <w:r w:rsidRPr="000445BA">
        <w:rPr>
          <w:rFonts w:ascii="Times New Roman" w:hAnsi="Times New Roman"/>
          <w:sz w:val="24"/>
          <w:szCs w:val="24"/>
          <w:lang w:val="en-AU"/>
        </w:rPr>
        <w:t>Furceri</w:t>
      </w:r>
      <w:proofErr w:type="spellEnd"/>
      <w:r w:rsidRPr="000445BA">
        <w:rPr>
          <w:rFonts w:ascii="Times New Roman" w:hAnsi="Times New Roman"/>
          <w:sz w:val="24"/>
          <w:szCs w:val="24"/>
          <w:lang w:val="en-AU"/>
        </w:rPr>
        <w:t xml:space="preserve">, </w:t>
      </w:r>
      <w:proofErr w:type="spellStart"/>
      <w:r w:rsidRPr="000445BA">
        <w:rPr>
          <w:rFonts w:ascii="Times New Roman" w:hAnsi="Times New Roman"/>
          <w:sz w:val="24"/>
          <w:szCs w:val="24"/>
          <w:lang w:val="en-AU"/>
        </w:rPr>
        <w:t>Loungani</w:t>
      </w:r>
      <w:proofErr w:type="spellEnd"/>
      <w:r w:rsidRPr="000445BA">
        <w:rPr>
          <w:rFonts w:ascii="Times New Roman" w:hAnsi="Times New Roman"/>
          <w:sz w:val="24"/>
          <w:szCs w:val="24"/>
          <w:lang w:val="en-AU"/>
        </w:rPr>
        <w:t xml:space="preserve"> 2014; </w:t>
      </w:r>
      <w:proofErr w:type="spellStart"/>
      <w:r w:rsidRPr="000445BA">
        <w:rPr>
          <w:rFonts w:ascii="Times New Roman" w:hAnsi="Times New Roman"/>
          <w:sz w:val="24"/>
          <w:szCs w:val="24"/>
          <w:lang w:val="en-AU"/>
        </w:rPr>
        <w:t>Gali</w:t>
      </w:r>
      <w:proofErr w:type="spellEnd"/>
      <w:r w:rsidRPr="000445BA">
        <w:rPr>
          <w:rFonts w:ascii="Times New Roman" w:hAnsi="Times New Roman"/>
          <w:sz w:val="24"/>
          <w:szCs w:val="24"/>
          <w:lang w:val="en-AU"/>
        </w:rPr>
        <w:t xml:space="preserve"> 2015). EU’s budget is too small to conduct active regional policy meant as closing development gaps between region and countries. </w:t>
      </w:r>
    </w:p>
    <w:p w14:paraId="498F5561" w14:textId="77777777" w:rsidR="000445BA" w:rsidRPr="000445BA" w:rsidRDefault="000445BA" w:rsidP="000445BA">
      <w:pPr>
        <w:spacing w:after="0" w:line="360" w:lineRule="auto"/>
        <w:ind w:firstLine="708"/>
        <w:jc w:val="both"/>
        <w:rPr>
          <w:rFonts w:ascii="Times New Roman" w:hAnsi="Times New Roman"/>
          <w:sz w:val="24"/>
          <w:szCs w:val="24"/>
          <w:lang w:val="en-AU"/>
        </w:rPr>
      </w:pPr>
      <w:r w:rsidRPr="000445BA">
        <w:rPr>
          <w:rFonts w:ascii="Times New Roman" w:hAnsi="Times New Roman"/>
          <w:sz w:val="24"/>
          <w:szCs w:val="24"/>
          <w:lang w:val="en-AU"/>
        </w:rPr>
        <w:t xml:space="preserve">There are no doubts that EU membership can be important factor which accelerates economic growth and income level, but deep economic integration can be also source of macroeconomic imbalances. German economy after so called </w:t>
      </w:r>
      <w:proofErr w:type="spellStart"/>
      <w:r w:rsidRPr="000445BA">
        <w:rPr>
          <w:rFonts w:ascii="Times New Roman" w:hAnsi="Times New Roman"/>
          <w:sz w:val="24"/>
          <w:szCs w:val="24"/>
          <w:lang w:val="en-AU"/>
        </w:rPr>
        <w:t>Hartz’s</w:t>
      </w:r>
      <w:proofErr w:type="spellEnd"/>
      <w:r w:rsidRPr="000445BA">
        <w:rPr>
          <w:rFonts w:ascii="Times New Roman" w:hAnsi="Times New Roman"/>
          <w:sz w:val="24"/>
          <w:szCs w:val="24"/>
          <w:lang w:val="en-AU"/>
        </w:rPr>
        <w:t xml:space="preserve"> reforms (deep reform of labour market institutions which resulted in low dynamics of wages) achieved quite high GDP growth (</w:t>
      </w:r>
      <w:proofErr w:type="spellStart"/>
      <w:r w:rsidRPr="000445BA">
        <w:rPr>
          <w:rFonts w:ascii="Times New Roman" w:hAnsi="Times New Roman"/>
          <w:sz w:val="24"/>
          <w:szCs w:val="24"/>
          <w:lang w:val="en-AU"/>
        </w:rPr>
        <w:t>Dustmann</w:t>
      </w:r>
      <w:proofErr w:type="spellEnd"/>
      <w:r w:rsidRPr="000445BA">
        <w:rPr>
          <w:rFonts w:ascii="Times New Roman" w:hAnsi="Times New Roman"/>
          <w:sz w:val="24"/>
          <w:szCs w:val="24"/>
          <w:lang w:val="en-AU"/>
        </w:rPr>
        <w:t xml:space="preserve">, </w:t>
      </w:r>
      <w:proofErr w:type="spellStart"/>
      <w:r w:rsidRPr="000445BA">
        <w:rPr>
          <w:rFonts w:ascii="Times New Roman" w:hAnsi="Times New Roman"/>
          <w:sz w:val="24"/>
          <w:szCs w:val="24"/>
          <w:lang w:val="en-AU"/>
        </w:rPr>
        <w:t>Fitzenberger</w:t>
      </w:r>
      <w:proofErr w:type="spellEnd"/>
      <w:r w:rsidRPr="000445BA">
        <w:rPr>
          <w:rFonts w:ascii="Times New Roman" w:hAnsi="Times New Roman"/>
          <w:sz w:val="24"/>
          <w:szCs w:val="24"/>
          <w:lang w:val="en-AU"/>
        </w:rPr>
        <w:t xml:space="preserve">, </w:t>
      </w:r>
      <w:proofErr w:type="spellStart"/>
      <w:r w:rsidRPr="000445BA">
        <w:rPr>
          <w:rFonts w:ascii="Times New Roman" w:hAnsi="Times New Roman"/>
          <w:sz w:val="24"/>
          <w:szCs w:val="24"/>
          <w:lang w:val="en-AU"/>
        </w:rPr>
        <w:t>Schönberg</w:t>
      </w:r>
      <w:proofErr w:type="spellEnd"/>
      <w:r w:rsidRPr="000445BA">
        <w:rPr>
          <w:rFonts w:ascii="Times New Roman" w:hAnsi="Times New Roman"/>
          <w:sz w:val="24"/>
          <w:szCs w:val="24"/>
          <w:lang w:val="en-AU"/>
        </w:rPr>
        <w:t>, Spitz-</w:t>
      </w:r>
      <w:proofErr w:type="spellStart"/>
      <w:r w:rsidRPr="000445BA">
        <w:rPr>
          <w:rFonts w:ascii="Times New Roman" w:hAnsi="Times New Roman"/>
          <w:sz w:val="24"/>
          <w:szCs w:val="24"/>
          <w:lang w:val="en-AU"/>
        </w:rPr>
        <w:t>Oener</w:t>
      </w:r>
      <w:proofErr w:type="spellEnd"/>
      <w:r w:rsidRPr="000445BA">
        <w:rPr>
          <w:rFonts w:ascii="Times New Roman" w:hAnsi="Times New Roman"/>
          <w:sz w:val="24"/>
          <w:szCs w:val="24"/>
          <w:lang w:val="en-AU"/>
        </w:rPr>
        <w:t xml:space="preserve"> 2014) which was based on export surplus. </w:t>
      </w:r>
    </w:p>
    <w:p w14:paraId="1ACB3EFC" w14:textId="77777777" w:rsidR="000445BA" w:rsidRPr="000445BA" w:rsidRDefault="000445BA" w:rsidP="000445BA">
      <w:pPr>
        <w:spacing w:after="0" w:line="360" w:lineRule="auto"/>
        <w:ind w:firstLine="708"/>
        <w:jc w:val="both"/>
        <w:rPr>
          <w:rFonts w:ascii="Times New Roman" w:hAnsi="Times New Roman"/>
          <w:sz w:val="24"/>
          <w:szCs w:val="24"/>
          <w:lang w:val="en-AU"/>
        </w:rPr>
      </w:pPr>
      <w:r w:rsidRPr="000445BA">
        <w:rPr>
          <w:rFonts w:ascii="Times New Roman" w:hAnsi="Times New Roman"/>
          <w:sz w:val="24"/>
          <w:szCs w:val="24"/>
          <w:lang w:val="en-AU"/>
        </w:rPr>
        <w:t>One country’s surplus must go together with deficit in other one, what was clear in the EU where current account (CA) surplus in the North (Germany, Netherlands, Austria) determined huge CA deficits in the South (Portugal, Spain, Greece). Economic strategy which is based on import of the capital can be successful in the short term (fast economic growth in the beginning of 2000’s in Spain, Ireland or Baltic countries) but is very risky in the case of tensions on financial markets. Clear example of this risk one can find in Southern Europe or in Baltic countries where sudden outflow of the capital led to severe recession.</w:t>
      </w:r>
    </w:p>
    <w:p w14:paraId="2B6ACBC7" w14:textId="77777777" w:rsidR="000445BA" w:rsidRPr="00AB56A1" w:rsidRDefault="000445BA" w:rsidP="00AB05A6">
      <w:pPr>
        <w:spacing w:after="0" w:line="360" w:lineRule="auto"/>
        <w:ind w:firstLine="708"/>
        <w:jc w:val="both"/>
        <w:rPr>
          <w:rFonts w:ascii="Times New Roman" w:eastAsia="Times New Roman" w:hAnsi="Times New Roman" w:cs="Times New Roman"/>
          <w:sz w:val="24"/>
          <w:szCs w:val="24"/>
        </w:rPr>
      </w:pPr>
    </w:p>
    <w:p w14:paraId="0EBADAB6" w14:textId="77777777" w:rsidR="0047133B" w:rsidRPr="00AB56A1" w:rsidRDefault="0047133B"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Table 6. The GDP dynamics and current account balance in selected EU countries</w:t>
      </w:r>
    </w:p>
    <w:p w14:paraId="31653B1B" w14:textId="77777777" w:rsidR="0047133B" w:rsidRPr="00AB56A1" w:rsidRDefault="0047133B" w:rsidP="00AB05A6">
      <w:pPr>
        <w:spacing w:after="0" w:line="360" w:lineRule="auto"/>
        <w:ind w:firstLine="708"/>
        <w:jc w:val="both"/>
        <w:rPr>
          <w:rFonts w:ascii="Times New Roman" w:eastAsia="Times New Roman" w:hAnsi="Times New Roman" w:cs="Times New Roman"/>
          <w:sz w:val="24"/>
          <w:szCs w:val="24"/>
        </w:rPr>
      </w:pPr>
      <w:r w:rsidRPr="00AB56A1">
        <w:rPr>
          <w:noProof/>
          <w:lang w:val="pl-PL" w:eastAsia="pl-PL"/>
        </w:rPr>
        <w:drawing>
          <wp:inline distT="0" distB="0" distL="0" distR="0" wp14:anchorId="1D39FC9C" wp14:editId="549C9EDF">
            <wp:extent cx="5760720" cy="1139101"/>
            <wp:effectExtent l="0" t="0" r="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139101"/>
                    </a:xfrm>
                    <a:prstGeom prst="rect">
                      <a:avLst/>
                    </a:prstGeom>
                    <a:noFill/>
                    <a:ln>
                      <a:noFill/>
                    </a:ln>
                  </pic:spPr>
                </pic:pic>
              </a:graphicData>
            </a:graphic>
          </wp:inline>
        </w:drawing>
      </w:r>
    </w:p>
    <w:p w14:paraId="13993D20" w14:textId="56B97C51" w:rsidR="0047133B" w:rsidRPr="00AB56A1" w:rsidRDefault="0047133B"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Source: IMF</w:t>
      </w:r>
      <w:r w:rsidR="00D677DC">
        <w:rPr>
          <w:rFonts w:ascii="Times New Roman" w:hAnsi="Times New Roman"/>
          <w:sz w:val="24"/>
          <w:szCs w:val="24"/>
        </w:rPr>
        <w:t xml:space="preserve"> database</w:t>
      </w:r>
    </w:p>
    <w:p w14:paraId="78CA9E95" w14:textId="77777777" w:rsidR="0047133B" w:rsidRPr="00AB56A1" w:rsidRDefault="0047133B" w:rsidP="00AB05A6">
      <w:pPr>
        <w:spacing w:after="0" w:line="360" w:lineRule="auto"/>
        <w:ind w:firstLine="708"/>
        <w:jc w:val="both"/>
        <w:rPr>
          <w:rFonts w:ascii="Times New Roman" w:eastAsia="Times New Roman" w:hAnsi="Times New Roman" w:cs="Times New Roman"/>
          <w:sz w:val="24"/>
          <w:szCs w:val="24"/>
        </w:rPr>
      </w:pPr>
    </w:p>
    <w:p w14:paraId="1032AF8B" w14:textId="7F0333A3" w:rsidR="0047133B" w:rsidRPr="00AB56A1" w:rsidRDefault="0047133B"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Table 7.</w:t>
      </w:r>
      <w:r w:rsidR="00205BDB" w:rsidRPr="00AB56A1">
        <w:rPr>
          <w:rFonts w:ascii="Times New Roman" w:hAnsi="Times New Roman"/>
          <w:b/>
          <w:sz w:val="24"/>
          <w:szCs w:val="24"/>
        </w:rPr>
        <w:t xml:space="preserve"> </w:t>
      </w:r>
      <w:r w:rsidRPr="00AB56A1">
        <w:rPr>
          <w:rFonts w:ascii="Times New Roman" w:hAnsi="Times New Roman"/>
          <w:b/>
          <w:sz w:val="24"/>
          <w:szCs w:val="24"/>
        </w:rPr>
        <w:t xml:space="preserve">GDP dynamics and current account balance in </w:t>
      </w:r>
      <w:r w:rsidR="00CE68A4">
        <w:rPr>
          <w:rFonts w:ascii="Times New Roman" w:hAnsi="Times New Roman"/>
          <w:b/>
          <w:sz w:val="24"/>
          <w:szCs w:val="24"/>
        </w:rPr>
        <w:t xml:space="preserve">the </w:t>
      </w:r>
      <w:r w:rsidRPr="00AB56A1">
        <w:rPr>
          <w:rFonts w:ascii="Times New Roman" w:hAnsi="Times New Roman"/>
          <w:b/>
          <w:sz w:val="24"/>
          <w:szCs w:val="24"/>
        </w:rPr>
        <w:t xml:space="preserve">economies of Central and Eastern Europe. Countries using </w:t>
      </w:r>
      <w:r w:rsidR="00CE68A4">
        <w:rPr>
          <w:rFonts w:ascii="Times New Roman" w:hAnsi="Times New Roman"/>
          <w:b/>
          <w:sz w:val="24"/>
          <w:szCs w:val="24"/>
        </w:rPr>
        <w:t xml:space="preserve">the </w:t>
      </w:r>
      <w:r w:rsidRPr="00AB56A1">
        <w:rPr>
          <w:rFonts w:ascii="Times New Roman" w:hAnsi="Times New Roman"/>
          <w:b/>
          <w:sz w:val="24"/>
          <w:szCs w:val="24"/>
        </w:rPr>
        <w:t xml:space="preserve">euro marked </w:t>
      </w:r>
      <w:r w:rsidR="00CE68A4">
        <w:rPr>
          <w:rFonts w:ascii="Times New Roman" w:hAnsi="Times New Roman"/>
          <w:b/>
          <w:sz w:val="24"/>
          <w:szCs w:val="24"/>
        </w:rPr>
        <w:t xml:space="preserve">are </w:t>
      </w:r>
      <w:r w:rsidRPr="00AB56A1">
        <w:rPr>
          <w:rFonts w:ascii="Times New Roman" w:hAnsi="Times New Roman"/>
          <w:b/>
          <w:sz w:val="24"/>
          <w:szCs w:val="24"/>
        </w:rPr>
        <w:t>in red.</w:t>
      </w:r>
    </w:p>
    <w:p w14:paraId="03853341" w14:textId="77777777" w:rsidR="0047133B" w:rsidRPr="00AB56A1" w:rsidRDefault="0047133B" w:rsidP="00AB05A6">
      <w:pPr>
        <w:spacing w:after="0" w:line="360" w:lineRule="auto"/>
        <w:ind w:firstLine="708"/>
        <w:jc w:val="both"/>
        <w:rPr>
          <w:rFonts w:ascii="Times New Roman" w:eastAsia="Times New Roman" w:hAnsi="Times New Roman" w:cs="Times New Roman"/>
          <w:sz w:val="24"/>
          <w:szCs w:val="24"/>
        </w:rPr>
      </w:pPr>
      <w:r w:rsidRPr="00AB56A1">
        <w:rPr>
          <w:noProof/>
          <w:lang w:val="pl-PL" w:eastAsia="pl-PL"/>
        </w:rPr>
        <w:drawing>
          <wp:inline distT="0" distB="0" distL="0" distR="0" wp14:anchorId="1787C5AE" wp14:editId="4EB75091">
            <wp:extent cx="5760720" cy="2043673"/>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043673"/>
                    </a:xfrm>
                    <a:prstGeom prst="rect">
                      <a:avLst/>
                    </a:prstGeom>
                    <a:noFill/>
                    <a:ln>
                      <a:noFill/>
                    </a:ln>
                  </pic:spPr>
                </pic:pic>
              </a:graphicData>
            </a:graphic>
          </wp:inline>
        </w:drawing>
      </w:r>
    </w:p>
    <w:p w14:paraId="280BEA3B" w14:textId="10D4AFEF" w:rsidR="0047133B" w:rsidRPr="00AB56A1" w:rsidRDefault="0047133B"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Source: IMF</w:t>
      </w:r>
      <w:r w:rsidR="00D677DC">
        <w:rPr>
          <w:rFonts w:ascii="Times New Roman" w:hAnsi="Times New Roman"/>
          <w:sz w:val="24"/>
          <w:szCs w:val="24"/>
        </w:rPr>
        <w:t xml:space="preserve"> database</w:t>
      </w:r>
    </w:p>
    <w:p w14:paraId="6C2593F3" w14:textId="77777777" w:rsidR="0047133B" w:rsidRPr="00AB56A1" w:rsidRDefault="0047133B" w:rsidP="00AB05A6">
      <w:pPr>
        <w:spacing w:after="0" w:line="360" w:lineRule="auto"/>
        <w:ind w:firstLine="708"/>
        <w:jc w:val="both"/>
        <w:rPr>
          <w:rFonts w:ascii="Times New Roman" w:eastAsia="Times New Roman" w:hAnsi="Times New Roman" w:cs="Times New Roman"/>
          <w:sz w:val="24"/>
          <w:szCs w:val="24"/>
        </w:rPr>
      </w:pPr>
    </w:p>
    <w:p w14:paraId="78A9CC28" w14:textId="2AF348B0" w:rsidR="00C01FB8" w:rsidRPr="00AB56A1" w:rsidRDefault="008C3DB4"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As shown in Table 5, in the countries especially severely affected by the crisis, there is an adjustment in salaries (the salaries decrease after 2008 as compared to the level of Germany) and an external imbalance starts to decrease. However, the adjustment has its price – an outflow of foreign capital, which is visible in a fast improvement of </w:t>
      </w:r>
      <w:r w:rsidR="00FB7024">
        <w:rPr>
          <w:rFonts w:ascii="Times New Roman" w:hAnsi="Times New Roman"/>
          <w:sz w:val="24"/>
          <w:szCs w:val="24"/>
        </w:rPr>
        <w:t xml:space="preserve">the </w:t>
      </w:r>
      <w:r w:rsidRPr="00AB56A1">
        <w:rPr>
          <w:rFonts w:ascii="Times New Roman" w:hAnsi="Times New Roman"/>
          <w:sz w:val="24"/>
          <w:szCs w:val="24"/>
        </w:rPr>
        <w:t xml:space="preserve">balance of payments current account, it causes a deep recession (it is clearly visible in </w:t>
      </w:r>
      <w:r w:rsidR="00FB7024">
        <w:rPr>
          <w:rFonts w:ascii="Times New Roman" w:hAnsi="Times New Roman"/>
          <w:sz w:val="24"/>
          <w:szCs w:val="24"/>
        </w:rPr>
        <w:t xml:space="preserve">the </w:t>
      </w:r>
      <w:r w:rsidRPr="00AB56A1">
        <w:rPr>
          <w:rFonts w:ascii="Times New Roman" w:hAnsi="Times New Roman"/>
          <w:sz w:val="24"/>
          <w:szCs w:val="24"/>
        </w:rPr>
        <w:t xml:space="preserve">Baltic countries) because these economies were dependent </w:t>
      </w:r>
      <w:r w:rsidR="00FB7024">
        <w:rPr>
          <w:rFonts w:ascii="Times New Roman" w:hAnsi="Times New Roman"/>
          <w:sz w:val="24"/>
          <w:szCs w:val="24"/>
        </w:rPr>
        <w:t>on</w:t>
      </w:r>
      <w:r w:rsidR="00FB7024" w:rsidRPr="00AB56A1">
        <w:rPr>
          <w:rFonts w:ascii="Times New Roman" w:hAnsi="Times New Roman"/>
          <w:sz w:val="24"/>
          <w:szCs w:val="24"/>
        </w:rPr>
        <w:t xml:space="preserve"> </w:t>
      </w:r>
      <w:r w:rsidRPr="00AB56A1">
        <w:rPr>
          <w:rFonts w:ascii="Times New Roman" w:hAnsi="Times New Roman"/>
          <w:sz w:val="24"/>
          <w:szCs w:val="24"/>
        </w:rPr>
        <w:t xml:space="preserve">the inflow of foreign capital to a large extent. </w:t>
      </w:r>
    </w:p>
    <w:p w14:paraId="250A168A" w14:textId="52385B68" w:rsidR="004B06FA" w:rsidRPr="00AB56A1" w:rsidRDefault="008C3DB4"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The course of the crisis and adjustment processes affect the labour market. By the way, such deep relative salary decreases in Southern Europe were forced by </w:t>
      </w:r>
      <w:r w:rsidR="00FB7024">
        <w:rPr>
          <w:rFonts w:ascii="Times New Roman" w:hAnsi="Times New Roman"/>
          <w:sz w:val="24"/>
          <w:szCs w:val="24"/>
        </w:rPr>
        <w:t xml:space="preserve">a </w:t>
      </w:r>
      <w:r w:rsidRPr="00AB56A1">
        <w:rPr>
          <w:rFonts w:ascii="Times New Roman" w:hAnsi="Times New Roman"/>
          <w:sz w:val="24"/>
          <w:szCs w:val="24"/>
        </w:rPr>
        <w:t xml:space="preserve">significant worsening of employment and unemployment indices. In the data presented below, we can also see a basic problem of the EU that has already been pointed out, i.e. a relatively low mobility of the workforce. The unemployment rate </w:t>
      </w:r>
      <w:r w:rsidR="00FB7024">
        <w:rPr>
          <w:rFonts w:ascii="Times New Roman" w:hAnsi="Times New Roman"/>
          <w:sz w:val="24"/>
          <w:szCs w:val="24"/>
        </w:rPr>
        <w:t>is</w:t>
      </w:r>
      <w:r w:rsidR="00FB7024" w:rsidRPr="00AB56A1">
        <w:rPr>
          <w:rFonts w:ascii="Times New Roman" w:hAnsi="Times New Roman"/>
          <w:sz w:val="24"/>
          <w:szCs w:val="24"/>
        </w:rPr>
        <w:t xml:space="preserve"> </w:t>
      </w:r>
      <w:r w:rsidRPr="00AB56A1">
        <w:rPr>
          <w:rFonts w:ascii="Times New Roman" w:hAnsi="Times New Roman"/>
          <w:sz w:val="24"/>
          <w:szCs w:val="24"/>
        </w:rPr>
        <w:t>significantly different between countries despite the common currency and lack of restrictions in movement of employees within the EU borders.</w:t>
      </w:r>
    </w:p>
    <w:p w14:paraId="0F0F774A" w14:textId="3D61146A" w:rsidR="008C3DB4" w:rsidRPr="00AB56A1" w:rsidRDefault="004B06FA"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 xml:space="preserve">A different reaction of labour markets in Greece and Spain and in Baltic countries may be surprising. In all these countries, the unemployment rate has increased to very high levels as a result of the financial crisis. In Greece and Spain, it is still at high levels, while in Baltic countries it decreased relatively quickly. This proves </w:t>
      </w:r>
      <w:r w:rsidR="00FB7024">
        <w:rPr>
          <w:rFonts w:ascii="Times New Roman" w:hAnsi="Times New Roman"/>
          <w:sz w:val="24"/>
          <w:szCs w:val="24"/>
        </w:rPr>
        <w:t>the</w:t>
      </w:r>
      <w:r w:rsidR="00FB7024" w:rsidRPr="00AB56A1">
        <w:rPr>
          <w:rFonts w:ascii="Times New Roman" w:hAnsi="Times New Roman"/>
          <w:sz w:val="24"/>
          <w:szCs w:val="24"/>
        </w:rPr>
        <w:t xml:space="preserve"> </w:t>
      </w:r>
      <w:r w:rsidRPr="00AB56A1">
        <w:rPr>
          <w:rFonts w:ascii="Times New Roman" w:hAnsi="Times New Roman"/>
          <w:sz w:val="24"/>
          <w:szCs w:val="24"/>
        </w:rPr>
        <w:t xml:space="preserve">high flexibility of </w:t>
      </w:r>
      <w:r w:rsidR="00FB7024">
        <w:rPr>
          <w:rFonts w:ascii="Times New Roman" w:hAnsi="Times New Roman"/>
          <w:sz w:val="24"/>
          <w:szCs w:val="24"/>
        </w:rPr>
        <w:t xml:space="preserve">the </w:t>
      </w:r>
      <w:r w:rsidRPr="00AB56A1">
        <w:rPr>
          <w:rFonts w:ascii="Times New Roman" w:hAnsi="Times New Roman"/>
          <w:sz w:val="24"/>
          <w:szCs w:val="24"/>
        </w:rPr>
        <w:t xml:space="preserve">labour markets in Eastern Europe and above all a very high foreign mobility of local employees – as many as several </w:t>
      </w:r>
      <w:r w:rsidR="00FB7024" w:rsidRPr="00AB56A1">
        <w:rPr>
          <w:rFonts w:ascii="Times New Roman" w:hAnsi="Times New Roman"/>
          <w:sz w:val="24"/>
          <w:szCs w:val="24"/>
        </w:rPr>
        <w:t>per</w:t>
      </w:r>
      <w:r w:rsidR="00FB7024">
        <w:rPr>
          <w:rFonts w:ascii="Times New Roman" w:hAnsi="Times New Roman"/>
          <w:sz w:val="24"/>
          <w:szCs w:val="24"/>
        </w:rPr>
        <w:t xml:space="preserve"> c</w:t>
      </w:r>
      <w:r w:rsidR="00FB7024" w:rsidRPr="00AB56A1">
        <w:rPr>
          <w:rFonts w:ascii="Times New Roman" w:hAnsi="Times New Roman"/>
          <w:sz w:val="24"/>
          <w:szCs w:val="24"/>
        </w:rPr>
        <w:t xml:space="preserve">ent </w:t>
      </w:r>
      <w:r w:rsidRPr="00AB56A1">
        <w:rPr>
          <w:rFonts w:ascii="Times New Roman" w:hAnsi="Times New Roman"/>
          <w:sz w:val="24"/>
          <w:szCs w:val="24"/>
        </w:rPr>
        <w:t>of all inhabitants have left Lithuania and Latvia.</w:t>
      </w:r>
    </w:p>
    <w:p w14:paraId="5F600C7A" w14:textId="77777777" w:rsidR="008C3DB4" w:rsidRPr="00AB56A1" w:rsidRDefault="008C3DB4" w:rsidP="00AB05A6">
      <w:pPr>
        <w:spacing w:after="0" w:line="360" w:lineRule="auto"/>
        <w:ind w:firstLine="708"/>
        <w:jc w:val="both"/>
        <w:rPr>
          <w:rFonts w:ascii="Times New Roman" w:eastAsia="Times New Roman" w:hAnsi="Times New Roman" w:cs="Times New Roman"/>
          <w:sz w:val="24"/>
          <w:szCs w:val="24"/>
        </w:rPr>
      </w:pPr>
    </w:p>
    <w:p w14:paraId="02CB7FD0" w14:textId="77777777" w:rsidR="008C3DB4" w:rsidRPr="00AB56A1" w:rsidRDefault="008C3DB4"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Table 8. The unemployment rate. Percentage of </w:t>
      </w:r>
      <w:r w:rsidR="00FB7024">
        <w:rPr>
          <w:rFonts w:ascii="Times New Roman" w:hAnsi="Times New Roman"/>
          <w:sz w:val="24"/>
          <w:szCs w:val="24"/>
        </w:rPr>
        <w:t xml:space="preserve">the </w:t>
      </w:r>
      <w:r w:rsidRPr="00AB56A1">
        <w:rPr>
          <w:rFonts w:ascii="Times New Roman" w:hAnsi="Times New Roman"/>
          <w:sz w:val="24"/>
          <w:szCs w:val="24"/>
        </w:rPr>
        <w:t>active population</w:t>
      </w:r>
      <w:r w:rsidR="00FB7024">
        <w:rPr>
          <w:rFonts w:ascii="Times New Roman" w:hAnsi="Times New Roman"/>
          <w:sz w:val="24"/>
          <w:szCs w:val="24"/>
        </w:rPr>
        <w:t>.</w:t>
      </w:r>
    </w:p>
    <w:p w14:paraId="53F2F9B8" w14:textId="77777777" w:rsidR="008C3DB4" w:rsidRPr="00AB56A1" w:rsidRDefault="008C3DB4" w:rsidP="00AB05A6">
      <w:pPr>
        <w:spacing w:after="0" w:line="360" w:lineRule="auto"/>
        <w:ind w:firstLine="708"/>
        <w:jc w:val="both"/>
        <w:rPr>
          <w:rFonts w:ascii="Times New Roman" w:eastAsia="Times New Roman" w:hAnsi="Times New Roman" w:cs="Times New Roman"/>
          <w:sz w:val="24"/>
          <w:szCs w:val="24"/>
        </w:rPr>
      </w:pPr>
      <w:r w:rsidRPr="00AB56A1">
        <w:rPr>
          <w:noProof/>
          <w:lang w:val="pl-PL" w:eastAsia="pl-PL"/>
        </w:rPr>
        <w:drawing>
          <wp:inline distT="0" distB="0" distL="0" distR="0" wp14:anchorId="699AB8E5" wp14:editId="6FB40A72">
            <wp:extent cx="5760720" cy="4072579"/>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4072579"/>
                    </a:xfrm>
                    <a:prstGeom prst="rect">
                      <a:avLst/>
                    </a:prstGeom>
                    <a:noFill/>
                    <a:ln>
                      <a:noFill/>
                    </a:ln>
                  </pic:spPr>
                </pic:pic>
              </a:graphicData>
            </a:graphic>
          </wp:inline>
        </w:drawing>
      </w:r>
    </w:p>
    <w:p w14:paraId="2B62F9AA" w14:textId="2FF998A5" w:rsidR="00C75AA3" w:rsidRPr="008A0894" w:rsidRDefault="008A0894" w:rsidP="00AB05A6">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Source: Eurostat database</w:t>
      </w:r>
    </w:p>
    <w:p w14:paraId="0F10B5DE" w14:textId="3C660C18" w:rsidR="00C75AA3" w:rsidRPr="008A0894" w:rsidRDefault="00C75AA3" w:rsidP="00AB05A6">
      <w:pPr>
        <w:spacing w:after="0" w:line="360" w:lineRule="auto"/>
        <w:ind w:firstLine="708"/>
        <w:jc w:val="both"/>
        <w:rPr>
          <w:rFonts w:ascii="Times New Roman" w:eastAsia="Times New Roman" w:hAnsi="Times New Roman" w:cs="Times New Roman"/>
          <w:sz w:val="24"/>
          <w:szCs w:val="24"/>
        </w:rPr>
      </w:pPr>
    </w:p>
    <w:p w14:paraId="0F1DC797" w14:textId="77777777" w:rsidR="00C75AA3" w:rsidRPr="00AB56A1" w:rsidRDefault="00C75AA3" w:rsidP="00AB05A6">
      <w:pPr>
        <w:spacing w:after="0" w:line="360" w:lineRule="auto"/>
        <w:ind w:firstLine="708"/>
        <w:jc w:val="both"/>
        <w:rPr>
          <w:rFonts w:ascii="Times New Roman" w:eastAsia="Times New Roman" w:hAnsi="Times New Roman" w:cs="Times New Roman"/>
          <w:b/>
          <w:sz w:val="24"/>
          <w:szCs w:val="24"/>
        </w:rPr>
      </w:pPr>
    </w:p>
    <w:p w14:paraId="047E9957" w14:textId="77777777" w:rsidR="00C75AA3" w:rsidRPr="00AB56A1" w:rsidRDefault="00C75AA3" w:rsidP="00AB05A6">
      <w:pPr>
        <w:spacing w:after="0" w:line="360" w:lineRule="auto"/>
        <w:ind w:firstLine="708"/>
        <w:jc w:val="both"/>
        <w:rPr>
          <w:rFonts w:ascii="Times New Roman" w:eastAsia="Times New Roman" w:hAnsi="Times New Roman" w:cs="Times New Roman"/>
          <w:b/>
          <w:sz w:val="24"/>
          <w:szCs w:val="24"/>
        </w:rPr>
      </w:pPr>
    </w:p>
    <w:p w14:paraId="07CD5BE7" w14:textId="77777777" w:rsidR="00E51609" w:rsidRPr="00AB56A1" w:rsidRDefault="00E51609" w:rsidP="00AB05A6">
      <w:pPr>
        <w:spacing w:after="0" w:line="360" w:lineRule="auto"/>
        <w:ind w:firstLine="708"/>
        <w:jc w:val="both"/>
        <w:rPr>
          <w:rFonts w:ascii="Times New Roman" w:eastAsia="Times New Roman" w:hAnsi="Times New Roman" w:cs="Times New Roman"/>
          <w:b/>
          <w:sz w:val="24"/>
          <w:szCs w:val="24"/>
        </w:rPr>
      </w:pPr>
    </w:p>
    <w:p w14:paraId="6C4B505B" w14:textId="1561BB13" w:rsidR="00E51609" w:rsidRDefault="00E51609" w:rsidP="00AB05A6">
      <w:pPr>
        <w:spacing w:after="0" w:line="360" w:lineRule="auto"/>
        <w:ind w:firstLine="708"/>
        <w:jc w:val="both"/>
        <w:rPr>
          <w:rFonts w:ascii="Times New Roman" w:eastAsia="Times New Roman" w:hAnsi="Times New Roman" w:cs="Times New Roman"/>
          <w:b/>
          <w:sz w:val="24"/>
          <w:szCs w:val="24"/>
        </w:rPr>
      </w:pPr>
    </w:p>
    <w:p w14:paraId="6152862B" w14:textId="35F1F74A" w:rsidR="008A0894" w:rsidRDefault="008A0894" w:rsidP="00AB05A6">
      <w:pPr>
        <w:spacing w:after="0" w:line="360" w:lineRule="auto"/>
        <w:ind w:firstLine="708"/>
        <w:jc w:val="both"/>
        <w:rPr>
          <w:rFonts w:ascii="Times New Roman" w:eastAsia="Times New Roman" w:hAnsi="Times New Roman" w:cs="Times New Roman"/>
          <w:b/>
          <w:sz w:val="24"/>
          <w:szCs w:val="24"/>
        </w:rPr>
      </w:pPr>
    </w:p>
    <w:p w14:paraId="1EA8994B" w14:textId="77777777" w:rsidR="008A0894" w:rsidRPr="00AB56A1" w:rsidRDefault="008A0894" w:rsidP="00AB05A6">
      <w:pPr>
        <w:spacing w:after="0" w:line="360" w:lineRule="auto"/>
        <w:ind w:firstLine="708"/>
        <w:jc w:val="both"/>
        <w:rPr>
          <w:rFonts w:ascii="Times New Roman" w:eastAsia="Times New Roman" w:hAnsi="Times New Roman" w:cs="Times New Roman"/>
          <w:b/>
          <w:sz w:val="24"/>
          <w:szCs w:val="24"/>
        </w:rPr>
      </w:pPr>
    </w:p>
    <w:p w14:paraId="2056B00B" w14:textId="77777777" w:rsidR="00E51609" w:rsidRPr="00AB56A1" w:rsidRDefault="00E51609" w:rsidP="00AB05A6">
      <w:pPr>
        <w:spacing w:after="0" w:line="360" w:lineRule="auto"/>
        <w:ind w:firstLine="708"/>
        <w:jc w:val="both"/>
        <w:rPr>
          <w:rFonts w:ascii="Times New Roman" w:eastAsia="Times New Roman" w:hAnsi="Times New Roman" w:cs="Times New Roman"/>
          <w:b/>
          <w:sz w:val="24"/>
          <w:szCs w:val="24"/>
        </w:rPr>
      </w:pPr>
    </w:p>
    <w:p w14:paraId="38AC4893" w14:textId="77777777" w:rsidR="00E51609" w:rsidRPr="00AB56A1" w:rsidRDefault="00E51609" w:rsidP="00AB05A6">
      <w:pPr>
        <w:spacing w:after="0" w:line="360" w:lineRule="auto"/>
        <w:ind w:firstLine="708"/>
        <w:jc w:val="both"/>
        <w:rPr>
          <w:rFonts w:ascii="Times New Roman" w:eastAsia="Times New Roman" w:hAnsi="Times New Roman" w:cs="Times New Roman"/>
          <w:b/>
          <w:sz w:val="24"/>
          <w:szCs w:val="24"/>
        </w:rPr>
      </w:pPr>
    </w:p>
    <w:p w14:paraId="0B9C070A" w14:textId="25573C2C" w:rsidR="008A0894" w:rsidRDefault="00756D22" w:rsidP="00AB05A6">
      <w:pPr>
        <w:spacing w:line="360" w:lineRule="auto"/>
        <w:ind w:firstLine="708"/>
        <w:jc w:val="both"/>
      </w:pPr>
      <w:r w:rsidRPr="00AB56A1">
        <w:rPr>
          <w:rFonts w:ascii="Times New Roman" w:hAnsi="Times New Roman"/>
          <w:b/>
          <w:sz w:val="24"/>
          <w:szCs w:val="24"/>
        </w:rPr>
        <w:lastRenderedPageBreak/>
        <w:t>Table 9. Net migration in EU countries</w:t>
      </w:r>
      <w:r w:rsidR="008A0894">
        <w:fldChar w:fldCharType="begin"/>
      </w:r>
      <w:r w:rsidR="008A0894">
        <w:instrText xml:space="preserve"> LINK Excel.Sheet.12 "D:\\Raport\\tabelka_migracje.xlsx" "Arkusz1!W4K2:W32K5" \a \f 4 \h </w:instrText>
      </w:r>
      <w:r w:rsidR="008A0894">
        <w:fldChar w:fldCharType="separate"/>
      </w:r>
    </w:p>
    <w:tbl>
      <w:tblPr>
        <w:tblW w:w="6660" w:type="dxa"/>
        <w:tblCellMar>
          <w:left w:w="70" w:type="dxa"/>
          <w:right w:w="70" w:type="dxa"/>
        </w:tblCellMar>
        <w:tblLook w:val="04A0" w:firstRow="1" w:lastRow="0" w:firstColumn="1" w:lastColumn="0" w:noHBand="0" w:noVBand="1"/>
      </w:tblPr>
      <w:tblGrid>
        <w:gridCol w:w="1520"/>
        <w:gridCol w:w="1720"/>
        <w:gridCol w:w="1700"/>
        <w:gridCol w:w="1720"/>
      </w:tblGrid>
      <w:tr w:rsidR="008A0894" w:rsidRPr="008A0894" w14:paraId="47587459" w14:textId="77777777" w:rsidTr="008A0894">
        <w:trPr>
          <w:trHeight w:val="29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44F0" w14:textId="71B6C4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Country, period</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11FA6A48"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Total: 2004-2016</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ECBFD62"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Total: 2004-2008</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14:paraId="02C47F68"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Total: 2009-2012</w:t>
            </w:r>
          </w:p>
        </w:tc>
      </w:tr>
      <w:tr w:rsidR="008A0894" w:rsidRPr="008A0894" w14:paraId="303D0E41"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77463AF"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Belgium</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72109E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690 070</w:t>
            </w:r>
          </w:p>
        </w:tc>
        <w:tc>
          <w:tcPr>
            <w:tcW w:w="1700" w:type="dxa"/>
            <w:tcBorders>
              <w:top w:val="nil"/>
              <w:left w:val="nil"/>
              <w:bottom w:val="single" w:sz="4" w:space="0" w:color="auto"/>
              <w:right w:val="single" w:sz="4" w:space="0" w:color="auto"/>
            </w:tcBorders>
            <w:shd w:val="clear" w:color="auto" w:fill="auto"/>
            <w:noWrap/>
            <w:vAlign w:val="bottom"/>
            <w:hideMark/>
          </w:tcPr>
          <w:p w14:paraId="0985371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257 279</w:t>
            </w:r>
          </w:p>
        </w:tc>
        <w:tc>
          <w:tcPr>
            <w:tcW w:w="1720" w:type="dxa"/>
            <w:tcBorders>
              <w:top w:val="nil"/>
              <w:left w:val="nil"/>
              <w:bottom w:val="single" w:sz="4" w:space="0" w:color="auto"/>
              <w:right w:val="single" w:sz="4" w:space="0" w:color="auto"/>
            </w:tcBorders>
            <w:shd w:val="clear" w:color="auto" w:fill="auto"/>
            <w:noWrap/>
            <w:vAlign w:val="bottom"/>
            <w:hideMark/>
          </w:tcPr>
          <w:p w14:paraId="569F16DD"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267 510</w:t>
            </w:r>
          </w:p>
        </w:tc>
      </w:tr>
      <w:tr w:rsidR="008A0894" w:rsidRPr="008A0894" w14:paraId="44EB7881"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15891A8"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Bulgaria</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2DD89CCB"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-145 606</w:t>
            </w:r>
          </w:p>
        </w:tc>
        <w:tc>
          <w:tcPr>
            <w:tcW w:w="1700" w:type="dxa"/>
            <w:tcBorders>
              <w:top w:val="nil"/>
              <w:left w:val="nil"/>
              <w:bottom w:val="single" w:sz="4" w:space="0" w:color="auto"/>
              <w:right w:val="single" w:sz="4" w:space="0" w:color="auto"/>
            </w:tcBorders>
            <w:shd w:val="clear" w:color="auto" w:fill="auto"/>
            <w:noWrap/>
            <w:vAlign w:val="bottom"/>
            <w:hideMark/>
          </w:tcPr>
          <w:p w14:paraId="6A03EB8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-85 579</w:t>
            </w:r>
          </w:p>
        </w:tc>
        <w:tc>
          <w:tcPr>
            <w:tcW w:w="1720" w:type="dxa"/>
            <w:tcBorders>
              <w:top w:val="nil"/>
              <w:left w:val="nil"/>
              <w:bottom w:val="single" w:sz="4" w:space="0" w:color="auto"/>
              <w:right w:val="single" w:sz="4" w:space="0" w:color="auto"/>
            </w:tcBorders>
            <w:shd w:val="clear" w:color="auto" w:fill="auto"/>
            <w:noWrap/>
            <w:vAlign w:val="bottom"/>
            <w:hideMark/>
          </w:tcPr>
          <w:p w14:paraId="336F03A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-43 231</w:t>
            </w:r>
          </w:p>
        </w:tc>
      </w:tr>
      <w:tr w:rsidR="008A0894" w:rsidRPr="008A0894" w14:paraId="54DA91F0"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87AC31C"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Czech Republic</w:t>
            </w:r>
          </w:p>
        </w:tc>
        <w:tc>
          <w:tcPr>
            <w:tcW w:w="1720" w:type="dxa"/>
            <w:tcBorders>
              <w:top w:val="nil"/>
              <w:left w:val="nil"/>
              <w:bottom w:val="single" w:sz="4" w:space="0" w:color="auto"/>
              <w:right w:val="single" w:sz="4" w:space="0" w:color="auto"/>
            </w:tcBorders>
            <w:shd w:val="clear" w:color="auto" w:fill="auto"/>
            <w:noWrap/>
            <w:vAlign w:val="bottom"/>
            <w:hideMark/>
          </w:tcPr>
          <w:p w14:paraId="389BBF4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342 967</w:t>
            </w:r>
          </w:p>
        </w:tc>
        <w:tc>
          <w:tcPr>
            <w:tcW w:w="1700" w:type="dxa"/>
            <w:tcBorders>
              <w:top w:val="nil"/>
              <w:left w:val="nil"/>
              <w:bottom w:val="single" w:sz="4" w:space="0" w:color="auto"/>
              <w:right w:val="single" w:sz="4" w:space="0" w:color="auto"/>
            </w:tcBorders>
            <w:shd w:val="clear" w:color="auto" w:fill="auto"/>
            <w:noWrap/>
            <w:vAlign w:val="bottom"/>
            <w:hideMark/>
          </w:tcPr>
          <w:p w14:paraId="4A059973"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219 668</w:t>
            </w:r>
          </w:p>
        </w:tc>
        <w:tc>
          <w:tcPr>
            <w:tcW w:w="1720" w:type="dxa"/>
            <w:tcBorders>
              <w:top w:val="nil"/>
              <w:left w:val="nil"/>
              <w:bottom w:val="single" w:sz="4" w:space="0" w:color="auto"/>
              <w:right w:val="single" w:sz="4" w:space="0" w:color="auto"/>
            </w:tcBorders>
            <w:shd w:val="clear" w:color="auto" w:fill="auto"/>
            <w:noWrap/>
            <w:vAlign w:val="bottom"/>
            <w:hideMark/>
          </w:tcPr>
          <w:p w14:paraId="53DCB36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66 894</w:t>
            </w:r>
          </w:p>
        </w:tc>
      </w:tr>
      <w:tr w:rsidR="008A0894" w:rsidRPr="008A0894" w14:paraId="7391E3BE"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01D8E22"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Denmark</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8E2A868"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252 139</w:t>
            </w:r>
          </w:p>
        </w:tc>
        <w:tc>
          <w:tcPr>
            <w:tcW w:w="1700" w:type="dxa"/>
            <w:tcBorders>
              <w:top w:val="nil"/>
              <w:left w:val="nil"/>
              <w:bottom w:val="single" w:sz="4" w:space="0" w:color="auto"/>
              <w:right w:val="single" w:sz="4" w:space="0" w:color="auto"/>
            </w:tcBorders>
            <w:shd w:val="clear" w:color="auto" w:fill="auto"/>
            <w:noWrap/>
            <w:vAlign w:val="bottom"/>
            <w:hideMark/>
          </w:tcPr>
          <w:p w14:paraId="5A6399DC"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67 256</w:t>
            </w:r>
          </w:p>
        </w:tc>
        <w:tc>
          <w:tcPr>
            <w:tcW w:w="1720" w:type="dxa"/>
            <w:tcBorders>
              <w:top w:val="nil"/>
              <w:left w:val="nil"/>
              <w:bottom w:val="single" w:sz="4" w:space="0" w:color="auto"/>
              <w:right w:val="single" w:sz="4" w:space="0" w:color="auto"/>
            </w:tcBorders>
            <w:shd w:val="clear" w:color="auto" w:fill="auto"/>
            <w:noWrap/>
            <w:vAlign w:val="bottom"/>
            <w:hideMark/>
          </w:tcPr>
          <w:p w14:paraId="3A12855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62 115</w:t>
            </w:r>
          </w:p>
        </w:tc>
      </w:tr>
      <w:tr w:rsidR="008A0894" w:rsidRPr="008A0894" w14:paraId="3ECB1083"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EDAF65F"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 xml:space="preserve">Germany </w:t>
            </w:r>
          </w:p>
        </w:tc>
        <w:tc>
          <w:tcPr>
            <w:tcW w:w="1720" w:type="dxa"/>
            <w:tcBorders>
              <w:top w:val="nil"/>
              <w:left w:val="nil"/>
              <w:bottom w:val="single" w:sz="4" w:space="0" w:color="auto"/>
              <w:right w:val="single" w:sz="4" w:space="0" w:color="auto"/>
            </w:tcBorders>
            <w:shd w:val="clear" w:color="auto" w:fill="auto"/>
            <w:noWrap/>
            <w:vAlign w:val="bottom"/>
            <w:hideMark/>
          </w:tcPr>
          <w:p w14:paraId="712A6836"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3 966 798</w:t>
            </w:r>
          </w:p>
        </w:tc>
        <w:tc>
          <w:tcPr>
            <w:tcW w:w="1700" w:type="dxa"/>
            <w:tcBorders>
              <w:top w:val="nil"/>
              <w:left w:val="nil"/>
              <w:bottom w:val="single" w:sz="4" w:space="0" w:color="auto"/>
              <w:right w:val="single" w:sz="4" w:space="0" w:color="auto"/>
            </w:tcBorders>
            <w:shd w:val="clear" w:color="auto" w:fill="auto"/>
            <w:noWrap/>
            <w:vAlign w:val="bottom"/>
            <w:hideMark/>
          </w:tcPr>
          <w:p w14:paraId="02ECC75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180 887</w:t>
            </w:r>
          </w:p>
        </w:tc>
        <w:tc>
          <w:tcPr>
            <w:tcW w:w="1720" w:type="dxa"/>
            <w:tcBorders>
              <w:top w:val="nil"/>
              <w:left w:val="nil"/>
              <w:bottom w:val="single" w:sz="4" w:space="0" w:color="auto"/>
              <w:right w:val="single" w:sz="4" w:space="0" w:color="auto"/>
            </w:tcBorders>
            <w:shd w:val="clear" w:color="auto" w:fill="auto"/>
            <w:noWrap/>
            <w:vAlign w:val="bottom"/>
            <w:hideMark/>
          </w:tcPr>
          <w:p w14:paraId="50A75740"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806 847</w:t>
            </w:r>
          </w:p>
        </w:tc>
      </w:tr>
      <w:tr w:rsidR="008A0894" w:rsidRPr="008A0894" w14:paraId="4D527BCD"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F454F67"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Estonia</w:t>
            </w:r>
          </w:p>
        </w:tc>
        <w:tc>
          <w:tcPr>
            <w:tcW w:w="1720" w:type="dxa"/>
            <w:tcBorders>
              <w:top w:val="nil"/>
              <w:left w:val="nil"/>
              <w:bottom w:val="single" w:sz="4" w:space="0" w:color="auto"/>
              <w:right w:val="single" w:sz="4" w:space="0" w:color="auto"/>
            </w:tcBorders>
            <w:shd w:val="clear" w:color="auto" w:fill="auto"/>
            <w:noWrap/>
            <w:vAlign w:val="bottom"/>
            <w:hideMark/>
          </w:tcPr>
          <w:p w14:paraId="7103E5C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-32 272</w:t>
            </w:r>
          </w:p>
        </w:tc>
        <w:tc>
          <w:tcPr>
            <w:tcW w:w="1700" w:type="dxa"/>
            <w:tcBorders>
              <w:top w:val="nil"/>
              <w:left w:val="nil"/>
              <w:bottom w:val="single" w:sz="4" w:space="0" w:color="auto"/>
              <w:right w:val="single" w:sz="4" w:space="0" w:color="auto"/>
            </w:tcBorders>
            <w:shd w:val="clear" w:color="auto" w:fill="auto"/>
            <w:noWrap/>
            <w:vAlign w:val="bottom"/>
            <w:hideMark/>
          </w:tcPr>
          <w:p w14:paraId="3D92E87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-19 131</w:t>
            </w:r>
          </w:p>
        </w:tc>
        <w:tc>
          <w:tcPr>
            <w:tcW w:w="1720" w:type="dxa"/>
            <w:tcBorders>
              <w:top w:val="nil"/>
              <w:left w:val="nil"/>
              <w:bottom w:val="single" w:sz="4" w:space="0" w:color="auto"/>
              <w:right w:val="single" w:sz="4" w:space="0" w:color="auto"/>
            </w:tcBorders>
            <w:shd w:val="clear" w:color="auto" w:fill="auto"/>
            <w:noWrap/>
            <w:vAlign w:val="bottom"/>
            <w:hideMark/>
          </w:tcPr>
          <w:p w14:paraId="47EC3FA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-13 324</w:t>
            </w:r>
          </w:p>
        </w:tc>
      </w:tr>
      <w:tr w:rsidR="008A0894" w:rsidRPr="008A0894" w14:paraId="78A24EE4"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0643FA9"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Ireland</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50EB2E9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162 898</w:t>
            </w:r>
          </w:p>
        </w:tc>
        <w:tc>
          <w:tcPr>
            <w:tcW w:w="1700" w:type="dxa"/>
            <w:tcBorders>
              <w:top w:val="nil"/>
              <w:left w:val="nil"/>
              <w:bottom w:val="single" w:sz="4" w:space="0" w:color="auto"/>
              <w:right w:val="single" w:sz="4" w:space="0" w:color="auto"/>
            </w:tcBorders>
            <w:shd w:val="clear" w:color="auto" w:fill="auto"/>
            <w:noWrap/>
            <w:vAlign w:val="bottom"/>
            <w:hideMark/>
          </w:tcPr>
          <w:p w14:paraId="6966CB1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298 944</w:t>
            </w:r>
          </w:p>
        </w:tc>
        <w:tc>
          <w:tcPr>
            <w:tcW w:w="1720" w:type="dxa"/>
            <w:tcBorders>
              <w:top w:val="nil"/>
              <w:left w:val="nil"/>
              <w:bottom w:val="single" w:sz="4" w:space="0" w:color="auto"/>
              <w:right w:val="single" w:sz="4" w:space="0" w:color="auto"/>
            </w:tcBorders>
            <w:shd w:val="clear" w:color="auto" w:fill="auto"/>
            <w:noWrap/>
            <w:vAlign w:val="bottom"/>
            <w:hideMark/>
          </w:tcPr>
          <w:p w14:paraId="278A1DB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-112 687</w:t>
            </w:r>
          </w:p>
        </w:tc>
      </w:tr>
      <w:tr w:rsidR="008A0894" w:rsidRPr="008A0894" w14:paraId="1B662648"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5B96C21"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Greece</w:t>
            </w:r>
          </w:p>
        </w:tc>
        <w:tc>
          <w:tcPr>
            <w:tcW w:w="1720" w:type="dxa"/>
            <w:tcBorders>
              <w:top w:val="nil"/>
              <w:left w:val="nil"/>
              <w:bottom w:val="single" w:sz="4" w:space="0" w:color="auto"/>
              <w:right w:val="single" w:sz="4" w:space="0" w:color="auto"/>
            </w:tcBorders>
            <w:shd w:val="clear" w:color="auto" w:fill="auto"/>
            <w:noWrap/>
            <w:vAlign w:val="bottom"/>
            <w:hideMark/>
          </w:tcPr>
          <w:p w14:paraId="3575E5A9"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-104 923</w:t>
            </w:r>
          </w:p>
        </w:tc>
        <w:tc>
          <w:tcPr>
            <w:tcW w:w="1700" w:type="dxa"/>
            <w:tcBorders>
              <w:top w:val="nil"/>
              <w:left w:val="nil"/>
              <w:bottom w:val="single" w:sz="4" w:space="0" w:color="auto"/>
              <w:right w:val="single" w:sz="4" w:space="0" w:color="auto"/>
            </w:tcBorders>
            <w:shd w:val="clear" w:color="auto" w:fill="auto"/>
            <w:noWrap/>
            <w:vAlign w:val="bottom"/>
            <w:hideMark/>
          </w:tcPr>
          <w:p w14:paraId="06F85CAA"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132 289</w:t>
            </w:r>
          </w:p>
        </w:tc>
        <w:tc>
          <w:tcPr>
            <w:tcW w:w="1720" w:type="dxa"/>
            <w:tcBorders>
              <w:top w:val="nil"/>
              <w:left w:val="nil"/>
              <w:bottom w:val="single" w:sz="4" w:space="0" w:color="auto"/>
              <w:right w:val="single" w:sz="4" w:space="0" w:color="auto"/>
            </w:tcBorders>
            <w:shd w:val="clear" w:color="auto" w:fill="auto"/>
            <w:noWrap/>
            <w:vAlign w:val="bottom"/>
            <w:hideMark/>
          </w:tcPr>
          <w:p w14:paraId="01079830"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-85 461</w:t>
            </w:r>
          </w:p>
        </w:tc>
      </w:tr>
      <w:tr w:rsidR="008A0894" w:rsidRPr="008A0894" w14:paraId="263A1F20"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8D75E84"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Spain</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951C26F"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3 045 819</w:t>
            </w:r>
          </w:p>
        </w:tc>
        <w:tc>
          <w:tcPr>
            <w:tcW w:w="1700" w:type="dxa"/>
            <w:tcBorders>
              <w:top w:val="nil"/>
              <w:left w:val="nil"/>
              <w:bottom w:val="single" w:sz="4" w:space="0" w:color="auto"/>
              <w:right w:val="single" w:sz="4" w:space="0" w:color="auto"/>
            </w:tcBorders>
            <w:shd w:val="clear" w:color="auto" w:fill="auto"/>
            <w:noWrap/>
            <w:vAlign w:val="bottom"/>
            <w:hideMark/>
          </w:tcPr>
          <w:p w14:paraId="109D01A1"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3 174 361</w:t>
            </w:r>
          </w:p>
        </w:tc>
        <w:tc>
          <w:tcPr>
            <w:tcW w:w="1720" w:type="dxa"/>
            <w:tcBorders>
              <w:top w:val="nil"/>
              <w:left w:val="nil"/>
              <w:bottom w:val="single" w:sz="4" w:space="0" w:color="auto"/>
              <w:right w:val="single" w:sz="4" w:space="0" w:color="auto"/>
            </w:tcBorders>
            <w:shd w:val="clear" w:color="auto" w:fill="auto"/>
            <w:noWrap/>
            <w:vAlign w:val="bottom"/>
            <w:hideMark/>
          </w:tcPr>
          <w:p w14:paraId="7254472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136 329</w:t>
            </w:r>
          </w:p>
        </w:tc>
      </w:tr>
      <w:tr w:rsidR="008A0894" w:rsidRPr="008A0894" w14:paraId="5F675CD3"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EC8C999"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France</w:t>
            </w:r>
          </w:p>
        </w:tc>
        <w:tc>
          <w:tcPr>
            <w:tcW w:w="1720" w:type="dxa"/>
            <w:tcBorders>
              <w:top w:val="nil"/>
              <w:left w:val="nil"/>
              <w:bottom w:val="single" w:sz="4" w:space="0" w:color="auto"/>
              <w:right w:val="single" w:sz="4" w:space="0" w:color="auto"/>
            </w:tcBorders>
            <w:shd w:val="clear" w:color="auto" w:fill="auto"/>
            <w:noWrap/>
            <w:vAlign w:val="bottom"/>
            <w:hideMark/>
          </w:tcPr>
          <w:p w14:paraId="17EAA430"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1 079 507</w:t>
            </w:r>
          </w:p>
        </w:tc>
        <w:tc>
          <w:tcPr>
            <w:tcW w:w="1700" w:type="dxa"/>
            <w:tcBorders>
              <w:top w:val="nil"/>
              <w:left w:val="nil"/>
              <w:bottom w:val="single" w:sz="4" w:space="0" w:color="auto"/>
              <w:right w:val="single" w:sz="4" w:space="0" w:color="auto"/>
            </w:tcBorders>
            <w:shd w:val="clear" w:color="auto" w:fill="auto"/>
            <w:noWrap/>
            <w:vAlign w:val="bottom"/>
            <w:hideMark/>
          </w:tcPr>
          <w:p w14:paraId="1FA9825B"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629 593</w:t>
            </w:r>
          </w:p>
        </w:tc>
        <w:tc>
          <w:tcPr>
            <w:tcW w:w="1720" w:type="dxa"/>
            <w:tcBorders>
              <w:top w:val="nil"/>
              <w:left w:val="nil"/>
              <w:bottom w:val="single" w:sz="4" w:space="0" w:color="auto"/>
              <w:right w:val="single" w:sz="4" w:space="0" w:color="auto"/>
            </w:tcBorders>
            <w:shd w:val="clear" w:color="auto" w:fill="auto"/>
            <w:noWrap/>
            <w:vAlign w:val="bottom"/>
            <w:hideMark/>
          </w:tcPr>
          <w:p w14:paraId="44FAAA6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160 064</w:t>
            </w:r>
          </w:p>
        </w:tc>
      </w:tr>
      <w:tr w:rsidR="008A0894" w:rsidRPr="008A0894" w14:paraId="1FDE6AEA"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B60E1B9"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Croatia</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EC02C3A"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-16 218</w:t>
            </w:r>
          </w:p>
        </w:tc>
        <w:tc>
          <w:tcPr>
            <w:tcW w:w="1700" w:type="dxa"/>
            <w:tcBorders>
              <w:top w:val="nil"/>
              <w:left w:val="nil"/>
              <w:bottom w:val="single" w:sz="4" w:space="0" w:color="auto"/>
              <w:right w:val="single" w:sz="4" w:space="0" w:color="auto"/>
            </w:tcBorders>
            <w:shd w:val="clear" w:color="auto" w:fill="auto"/>
            <w:noWrap/>
            <w:vAlign w:val="bottom"/>
            <w:hideMark/>
          </w:tcPr>
          <w:p w14:paraId="5D6DABD9"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50 605</w:t>
            </w:r>
          </w:p>
        </w:tc>
        <w:tc>
          <w:tcPr>
            <w:tcW w:w="1720" w:type="dxa"/>
            <w:tcBorders>
              <w:top w:val="nil"/>
              <w:left w:val="nil"/>
              <w:bottom w:val="single" w:sz="4" w:space="0" w:color="auto"/>
              <w:right w:val="single" w:sz="4" w:space="0" w:color="auto"/>
            </w:tcBorders>
            <w:shd w:val="clear" w:color="auto" w:fill="auto"/>
            <w:noWrap/>
            <w:vAlign w:val="bottom"/>
            <w:hideMark/>
          </w:tcPr>
          <w:p w14:paraId="53668A8F"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-11 323</w:t>
            </w:r>
          </w:p>
        </w:tc>
      </w:tr>
      <w:tr w:rsidR="008A0894" w:rsidRPr="008A0894" w14:paraId="233E289C"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2B85A1E"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Italy</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565F2D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3 763 810</w:t>
            </w:r>
          </w:p>
        </w:tc>
        <w:tc>
          <w:tcPr>
            <w:tcW w:w="1700" w:type="dxa"/>
            <w:tcBorders>
              <w:top w:val="nil"/>
              <w:left w:val="nil"/>
              <w:bottom w:val="single" w:sz="4" w:space="0" w:color="auto"/>
              <w:right w:val="single" w:sz="4" w:space="0" w:color="auto"/>
            </w:tcBorders>
            <w:shd w:val="clear" w:color="auto" w:fill="auto"/>
            <w:noWrap/>
            <w:vAlign w:val="bottom"/>
            <w:hideMark/>
          </w:tcPr>
          <w:p w14:paraId="1321CF9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1 515 244</w:t>
            </w:r>
          </w:p>
        </w:tc>
        <w:tc>
          <w:tcPr>
            <w:tcW w:w="1720" w:type="dxa"/>
            <w:tcBorders>
              <w:top w:val="nil"/>
              <w:left w:val="nil"/>
              <w:bottom w:val="single" w:sz="4" w:space="0" w:color="auto"/>
              <w:right w:val="single" w:sz="4" w:space="0" w:color="auto"/>
            </w:tcBorders>
            <w:shd w:val="clear" w:color="auto" w:fill="auto"/>
            <w:noWrap/>
            <w:vAlign w:val="bottom"/>
            <w:hideMark/>
          </w:tcPr>
          <w:p w14:paraId="13259126"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858 530</w:t>
            </w:r>
          </w:p>
        </w:tc>
      </w:tr>
      <w:tr w:rsidR="008A0894" w:rsidRPr="008A0894" w14:paraId="0F39A3C9"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2A8BF4B"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Cyprus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EBF52D3"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81 967</w:t>
            </w:r>
          </w:p>
        </w:tc>
        <w:tc>
          <w:tcPr>
            <w:tcW w:w="1700" w:type="dxa"/>
            <w:tcBorders>
              <w:top w:val="nil"/>
              <w:left w:val="nil"/>
              <w:bottom w:val="single" w:sz="4" w:space="0" w:color="auto"/>
              <w:right w:val="single" w:sz="4" w:space="0" w:color="auto"/>
            </w:tcBorders>
            <w:shd w:val="clear" w:color="auto" w:fill="auto"/>
            <w:noWrap/>
            <w:vAlign w:val="bottom"/>
            <w:hideMark/>
          </w:tcPr>
          <w:p w14:paraId="4CD9336E"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57 336</w:t>
            </w:r>
          </w:p>
        </w:tc>
        <w:tc>
          <w:tcPr>
            <w:tcW w:w="1720" w:type="dxa"/>
            <w:tcBorders>
              <w:top w:val="nil"/>
              <w:left w:val="nil"/>
              <w:bottom w:val="single" w:sz="4" w:space="0" w:color="auto"/>
              <w:right w:val="single" w:sz="4" w:space="0" w:color="auto"/>
            </w:tcBorders>
            <w:shd w:val="clear" w:color="auto" w:fill="auto"/>
            <w:noWrap/>
            <w:vAlign w:val="bottom"/>
            <w:hideMark/>
          </w:tcPr>
          <w:p w14:paraId="4396E771"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51 210</w:t>
            </w:r>
          </w:p>
        </w:tc>
      </w:tr>
      <w:tr w:rsidR="008A0894" w:rsidRPr="008A0894" w14:paraId="30FB9E12"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14CFF4E"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Latvia</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1EB306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-213 232</w:t>
            </w:r>
          </w:p>
        </w:tc>
        <w:tc>
          <w:tcPr>
            <w:tcW w:w="1700" w:type="dxa"/>
            <w:tcBorders>
              <w:top w:val="nil"/>
              <w:left w:val="nil"/>
              <w:bottom w:val="single" w:sz="4" w:space="0" w:color="auto"/>
              <w:right w:val="single" w:sz="4" w:space="0" w:color="auto"/>
            </w:tcBorders>
            <w:shd w:val="clear" w:color="auto" w:fill="auto"/>
            <w:noWrap/>
            <w:vAlign w:val="bottom"/>
            <w:hideMark/>
          </w:tcPr>
          <w:p w14:paraId="66AC837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-65 395</w:t>
            </w:r>
          </w:p>
        </w:tc>
        <w:tc>
          <w:tcPr>
            <w:tcW w:w="1720" w:type="dxa"/>
            <w:tcBorders>
              <w:top w:val="nil"/>
              <w:left w:val="nil"/>
              <w:bottom w:val="single" w:sz="4" w:space="0" w:color="auto"/>
              <w:right w:val="single" w:sz="4" w:space="0" w:color="auto"/>
            </w:tcBorders>
            <w:shd w:val="clear" w:color="auto" w:fill="auto"/>
            <w:noWrap/>
            <w:vAlign w:val="bottom"/>
            <w:hideMark/>
          </w:tcPr>
          <w:p w14:paraId="033C079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-102 054</w:t>
            </w:r>
          </w:p>
        </w:tc>
      </w:tr>
      <w:tr w:rsidR="008A0894" w:rsidRPr="008A0894" w14:paraId="2FE8AD83"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FEBE232"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Lithuania</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575177D9"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-397 206</w:t>
            </w:r>
          </w:p>
        </w:tc>
        <w:tc>
          <w:tcPr>
            <w:tcW w:w="1700" w:type="dxa"/>
            <w:tcBorders>
              <w:top w:val="nil"/>
              <w:left w:val="nil"/>
              <w:bottom w:val="single" w:sz="4" w:space="0" w:color="auto"/>
              <w:right w:val="single" w:sz="4" w:space="0" w:color="auto"/>
            </w:tcBorders>
            <w:shd w:val="clear" w:color="auto" w:fill="auto"/>
            <w:noWrap/>
            <w:vAlign w:val="bottom"/>
            <w:hideMark/>
          </w:tcPr>
          <w:p w14:paraId="6B6F97F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-146 106</w:t>
            </w:r>
          </w:p>
        </w:tc>
        <w:tc>
          <w:tcPr>
            <w:tcW w:w="1720" w:type="dxa"/>
            <w:tcBorders>
              <w:top w:val="nil"/>
              <w:left w:val="nil"/>
              <w:bottom w:val="single" w:sz="4" w:space="0" w:color="auto"/>
              <w:right w:val="single" w:sz="4" w:space="0" w:color="auto"/>
            </w:tcBorders>
            <w:shd w:val="clear" w:color="auto" w:fill="auto"/>
            <w:noWrap/>
            <w:vAlign w:val="bottom"/>
            <w:hideMark/>
          </w:tcPr>
          <w:p w14:paraId="3325102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-169 392</w:t>
            </w:r>
          </w:p>
        </w:tc>
      </w:tr>
      <w:tr w:rsidR="008A0894" w:rsidRPr="008A0894" w14:paraId="06819632"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C55472C"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Luxembourg</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E980886"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106 841</w:t>
            </w:r>
          </w:p>
        </w:tc>
        <w:tc>
          <w:tcPr>
            <w:tcW w:w="1700" w:type="dxa"/>
            <w:tcBorders>
              <w:top w:val="nil"/>
              <w:left w:val="nil"/>
              <w:bottom w:val="single" w:sz="4" w:space="0" w:color="auto"/>
              <w:right w:val="single" w:sz="4" w:space="0" w:color="auto"/>
            </w:tcBorders>
            <w:shd w:val="clear" w:color="auto" w:fill="auto"/>
            <w:noWrap/>
            <w:vAlign w:val="bottom"/>
            <w:hideMark/>
          </w:tcPr>
          <w:p w14:paraId="698BD69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29 556</w:t>
            </w:r>
          </w:p>
        </w:tc>
        <w:tc>
          <w:tcPr>
            <w:tcW w:w="1720" w:type="dxa"/>
            <w:tcBorders>
              <w:top w:val="nil"/>
              <w:left w:val="nil"/>
              <w:bottom w:val="single" w:sz="4" w:space="0" w:color="auto"/>
              <w:right w:val="single" w:sz="4" w:space="0" w:color="auto"/>
            </w:tcBorders>
            <w:shd w:val="clear" w:color="auto" w:fill="auto"/>
            <w:noWrap/>
            <w:vAlign w:val="bottom"/>
            <w:hideMark/>
          </w:tcPr>
          <w:p w14:paraId="34B45DDC"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35 283</w:t>
            </w:r>
          </w:p>
        </w:tc>
      </w:tr>
      <w:tr w:rsidR="008A0894" w:rsidRPr="008A0894" w14:paraId="042B7E3E"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46BA467"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Hungary</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208ECBA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175 504</w:t>
            </w:r>
          </w:p>
        </w:tc>
        <w:tc>
          <w:tcPr>
            <w:tcW w:w="1700" w:type="dxa"/>
            <w:tcBorders>
              <w:top w:val="nil"/>
              <w:left w:val="nil"/>
              <w:bottom w:val="single" w:sz="4" w:space="0" w:color="auto"/>
              <w:right w:val="single" w:sz="4" w:space="0" w:color="auto"/>
            </w:tcBorders>
            <w:shd w:val="clear" w:color="auto" w:fill="auto"/>
            <w:noWrap/>
            <w:vAlign w:val="bottom"/>
            <w:hideMark/>
          </w:tcPr>
          <w:p w14:paraId="21277D0B"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87 759</w:t>
            </w:r>
          </w:p>
        </w:tc>
        <w:tc>
          <w:tcPr>
            <w:tcW w:w="1720" w:type="dxa"/>
            <w:tcBorders>
              <w:top w:val="nil"/>
              <w:left w:val="nil"/>
              <w:bottom w:val="single" w:sz="4" w:space="0" w:color="auto"/>
              <w:right w:val="single" w:sz="4" w:space="0" w:color="auto"/>
            </w:tcBorders>
            <w:shd w:val="clear" w:color="auto" w:fill="auto"/>
            <w:noWrap/>
            <w:vAlign w:val="bottom"/>
            <w:hideMark/>
          </w:tcPr>
          <w:p w14:paraId="02F4CB6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57 639</w:t>
            </w:r>
          </w:p>
        </w:tc>
      </w:tr>
      <w:tr w:rsidR="008A0894" w:rsidRPr="008A0894" w14:paraId="312219E8"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396CBDF"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Malta</w:t>
            </w:r>
          </w:p>
        </w:tc>
        <w:tc>
          <w:tcPr>
            <w:tcW w:w="1720" w:type="dxa"/>
            <w:tcBorders>
              <w:top w:val="nil"/>
              <w:left w:val="nil"/>
              <w:bottom w:val="single" w:sz="4" w:space="0" w:color="auto"/>
              <w:right w:val="single" w:sz="4" w:space="0" w:color="auto"/>
            </w:tcBorders>
            <w:shd w:val="clear" w:color="auto" w:fill="auto"/>
            <w:noWrap/>
            <w:vAlign w:val="bottom"/>
            <w:hideMark/>
          </w:tcPr>
          <w:p w14:paraId="1B17EF1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29 932</w:t>
            </w:r>
          </w:p>
        </w:tc>
        <w:tc>
          <w:tcPr>
            <w:tcW w:w="1700" w:type="dxa"/>
            <w:tcBorders>
              <w:top w:val="nil"/>
              <w:left w:val="nil"/>
              <w:bottom w:val="single" w:sz="4" w:space="0" w:color="auto"/>
              <w:right w:val="single" w:sz="4" w:space="0" w:color="auto"/>
            </w:tcBorders>
            <w:shd w:val="clear" w:color="auto" w:fill="auto"/>
            <w:noWrap/>
            <w:vAlign w:val="bottom"/>
            <w:hideMark/>
          </w:tcPr>
          <w:p w14:paraId="003BFBB8"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7 465</w:t>
            </w:r>
          </w:p>
        </w:tc>
        <w:tc>
          <w:tcPr>
            <w:tcW w:w="1720" w:type="dxa"/>
            <w:tcBorders>
              <w:top w:val="nil"/>
              <w:left w:val="nil"/>
              <w:bottom w:val="single" w:sz="4" w:space="0" w:color="auto"/>
              <w:right w:val="single" w:sz="4" w:space="0" w:color="auto"/>
            </w:tcBorders>
            <w:shd w:val="clear" w:color="auto" w:fill="auto"/>
            <w:noWrap/>
            <w:vAlign w:val="bottom"/>
            <w:hideMark/>
          </w:tcPr>
          <w:p w14:paraId="18348013"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7 132</w:t>
            </w:r>
          </w:p>
        </w:tc>
      </w:tr>
      <w:tr w:rsidR="008A0894" w:rsidRPr="008A0894" w14:paraId="0829F03F"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04489DF0"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Netherlands</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0DFBA7B"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275 579</w:t>
            </w:r>
          </w:p>
        </w:tc>
        <w:tc>
          <w:tcPr>
            <w:tcW w:w="1700" w:type="dxa"/>
            <w:tcBorders>
              <w:top w:val="nil"/>
              <w:left w:val="nil"/>
              <w:bottom w:val="single" w:sz="4" w:space="0" w:color="auto"/>
              <w:right w:val="single" w:sz="4" w:space="0" w:color="auto"/>
            </w:tcBorders>
            <w:shd w:val="clear" w:color="auto" w:fill="auto"/>
            <w:noWrap/>
            <w:vAlign w:val="bottom"/>
            <w:hideMark/>
          </w:tcPr>
          <w:p w14:paraId="5201E6A9"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-28 704</w:t>
            </w:r>
          </w:p>
        </w:tc>
        <w:tc>
          <w:tcPr>
            <w:tcW w:w="1720" w:type="dxa"/>
            <w:tcBorders>
              <w:top w:val="nil"/>
              <w:left w:val="nil"/>
              <w:bottom w:val="single" w:sz="4" w:space="0" w:color="auto"/>
              <w:right w:val="single" w:sz="4" w:space="0" w:color="auto"/>
            </w:tcBorders>
            <w:shd w:val="clear" w:color="auto" w:fill="auto"/>
            <w:noWrap/>
            <w:vAlign w:val="bottom"/>
            <w:hideMark/>
          </w:tcPr>
          <w:p w14:paraId="2DFAC37A"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115 304</w:t>
            </w:r>
          </w:p>
        </w:tc>
      </w:tr>
      <w:tr w:rsidR="008A0894" w:rsidRPr="008A0894" w14:paraId="5A86A218"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BF25AF5"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Austria</w:t>
            </w:r>
          </w:p>
        </w:tc>
        <w:tc>
          <w:tcPr>
            <w:tcW w:w="1720" w:type="dxa"/>
            <w:tcBorders>
              <w:top w:val="nil"/>
              <w:left w:val="nil"/>
              <w:bottom w:val="single" w:sz="4" w:space="0" w:color="auto"/>
              <w:right w:val="single" w:sz="4" w:space="0" w:color="auto"/>
            </w:tcBorders>
            <w:shd w:val="clear" w:color="auto" w:fill="auto"/>
            <w:noWrap/>
            <w:vAlign w:val="bottom"/>
            <w:hideMark/>
          </w:tcPr>
          <w:p w14:paraId="2B983A1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601 462</w:t>
            </w:r>
          </w:p>
        </w:tc>
        <w:tc>
          <w:tcPr>
            <w:tcW w:w="1700" w:type="dxa"/>
            <w:tcBorders>
              <w:top w:val="nil"/>
              <w:left w:val="nil"/>
              <w:bottom w:val="single" w:sz="4" w:space="0" w:color="auto"/>
              <w:right w:val="single" w:sz="4" w:space="0" w:color="auto"/>
            </w:tcBorders>
            <w:shd w:val="clear" w:color="auto" w:fill="auto"/>
            <w:noWrap/>
            <w:vAlign w:val="bottom"/>
            <w:hideMark/>
          </w:tcPr>
          <w:p w14:paraId="09F8D946"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176 840</w:t>
            </w:r>
          </w:p>
        </w:tc>
        <w:tc>
          <w:tcPr>
            <w:tcW w:w="1720" w:type="dxa"/>
            <w:tcBorders>
              <w:top w:val="nil"/>
              <w:left w:val="nil"/>
              <w:bottom w:val="single" w:sz="4" w:space="0" w:color="auto"/>
              <w:right w:val="single" w:sz="4" w:space="0" w:color="auto"/>
            </w:tcBorders>
            <w:shd w:val="clear" w:color="auto" w:fill="auto"/>
            <w:noWrap/>
            <w:vAlign w:val="bottom"/>
            <w:hideMark/>
          </w:tcPr>
          <w:p w14:paraId="2AB41B43"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115 205</w:t>
            </w:r>
          </w:p>
        </w:tc>
      </w:tr>
      <w:tr w:rsidR="008A0894" w:rsidRPr="008A0894" w14:paraId="021C71D1"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A055ADE"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Poland</w:t>
            </w:r>
          </w:p>
        </w:tc>
        <w:tc>
          <w:tcPr>
            <w:tcW w:w="1720" w:type="dxa"/>
            <w:tcBorders>
              <w:top w:val="nil"/>
              <w:left w:val="nil"/>
              <w:bottom w:val="single" w:sz="4" w:space="0" w:color="auto"/>
              <w:right w:val="single" w:sz="4" w:space="0" w:color="auto"/>
            </w:tcBorders>
            <w:shd w:val="clear" w:color="auto" w:fill="auto"/>
            <w:noWrap/>
            <w:vAlign w:val="bottom"/>
            <w:hideMark/>
          </w:tcPr>
          <w:p w14:paraId="3A7BE2EC"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-143 643</w:t>
            </w:r>
          </w:p>
        </w:tc>
        <w:tc>
          <w:tcPr>
            <w:tcW w:w="1700" w:type="dxa"/>
            <w:tcBorders>
              <w:top w:val="nil"/>
              <w:left w:val="nil"/>
              <w:bottom w:val="single" w:sz="4" w:space="0" w:color="auto"/>
              <w:right w:val="single" w:sz="4" w:space="0" w:color="auto"/>
            </w:tcBorders>
            <w:shd w:val="clear" w:color="auto" w:fill="auto"/>
            <w:noWrap/>
            <w:vAlign w:val="bottom"/>
            <w:hideMark/>
          </w:tcPr>
          <w:p w14:paraId="3DBD3D58"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-93 744</w:t>
            </w:r>
          </w:p>
        </w:tc>
        <w:tc>
          <w:tcPr>
            <w:tcW w:w="1720" w:type="dxa"/>
            <w:tcBorders>
              <w:top w:val="nil"/>
              <w:left w:val="nil"/>
              <w:bottom w:val="single" w:sz="4" w:space="0" w:color="auto"/>
              <w:right w:val="single" w:sz="4" w:space="0" w:color="auto"/>
            </w:tcBorders>
            <w:shd w:val="clear" w:color="auto" w:fill="auto"/>
            <w:noWrap/>
            <w:vAlign w:val="bottom"/>
            <w:hideMark/>
          </w:tcPr>
          <w:p w14:paraId="1FE728FF"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-10 736</w:t>
            </w:r>
          </w:p>
        </w:tc>
      </w:tr>
      <w:tr w:rsidR="008A0894" w:rsidRPr="008A0894" w14:paraId="3F0FB69B"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84714BA"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Portugal</w:t>
            </w:r>
          </w:p>
        </w:tc>
        <w:tc>
          <w:tcPr>
            <w:tcW w:w="1720" w:type="dxa"/>
            <w:tcBorders>
              <w:top w:val="nil"/>
              <w:left w:val="nil"/>
              <w:bottom w:val="single" w:sz="4" w:space="0" w:color="auto"/>
              <w:right w:val="single" w:sz="4" w:space="0" w:color="auto"/>
            </w:tcBorders>
            <w:shd w:val="clear" w:color="auto" w:fill="auto"/>
            <w:noWrap/>
            <w:vAlign w:val="bottom"/>
            <w:hideMark/>
          </w:tcPr>
          <w:p w14:paraId="79F2E71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-49 484</w:t>
            </w:r>
          </w:p>
        </w:tc>
        <w:tc>
          <w:tcPr>
            <w:tcW w:w="1700" w:type="dxa"/>
            <w:tcBorders>
              <w:top w:val="nil"/>
              <w:left w:val="nil"/>
              <w:bottom w:val="single" w:sz="4" w:space="0" w:color="auto"/>
              <w:right w:val="single" w:sz="4" w:space="0" w:color="auto"/>
            </w:tcBorders>
            <w:shd w:val="clear" w:color="auto" w:fill="auto"/>
            <w:noWrap/>
            <w:vAlign w:val="bottom"/>
            <w:hideMark/>
          </w:tcPr>
          <w:p w14:paraId="7697F45B"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77 990</w:t>
            </w:r>
          </w:p>
        </w:tc>
        <w:tc>
          <w:tcPr>
            <w:tcW w:w="1720" w:type="dxa"/>
            <w:tcBorders>
              <w:top w:val="nil"/>
              <w:left w:val="nil"/>
              <w:bottom w:val="single" w:sz="4" w:space="0" w:color="auto"/>
              <w:right w:val="single" w:sz="4" w:space="0" w:color="auto"/>
            </w:tcBorders>
            <w:shd w:val="clear" w:color="auto" w:fill="auto"/>
            <w:noWrap/>
            <w:vAlign w:val="bottom"/>
            <w:hideMark/>
          </w:tcPr>
          <w:p w14:paraId="3E863E4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-42 449</w:t>
            </w:r>
          </w:p>
        </w:tc>
      </w:tr>
      <w:tr w:rsidR="008A0894" w:rsidRPr="008A0894" w14:paraId="61519E3C"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8DD3478"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Romania</w:t>
            </w:r>
          </w:p>
        </w:tc>
        <w:tc>
          <w:tcPr>
            <w:tcW w:w="1720" w:type="dxa"/>
            <w:tcBorders>
              <w:top w:val="nil"/>
              <w:left w:val="nil"/>
              <w:bottom w:val="single" w:sz="4" w:space="0" w:color="auto"/>
              <w:right w:val="single" w:sz="4" w:space="0" w:color="auto"/>
            </w:tcBorders>
            <w:shd w:val="clear" w:color="auto" w:fill="auto"/>
            <w:noWrap/>
            <w:vAlign w:val="bottom"/>
            <w:hideMark/>
          </w:tcPr>
          <w:p w14:paraId="3932C978"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-1 248 118</w:t>
            </w:r>
          </w:p>
        </w:tc>
        <w:tc>
          <w:tcPr>
            <w:tcW w:w="1700" w:type="dxa"/>
            <w:tcBorders>
              <w:top w:val="nil"/>
              <w:left w:val="nil"/>
              <w:bottom w:val="single" w:sz="4" w:space="0" w:color="auto"/>
              <w:right w:val="single" w:sz="4" w:space="0" w:color="auto"/>
            </w:tcBorders>
            <w:shd w:val="clear" w:color="auto" w:fill="auto"/>
            <w:noWrap/>
            <w:vAlign w:val="bottom"/>
            <w:hideMark/>
          </w:tcPr>
          <w:p w14:paraId="6C67CD51"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-889 992</w:t>
            </w:r>
          </w:p>
        </w:tc>
        <w:tc>
          <w:tcPr>
            <w:tcW w:w="1720" w:type="dxa"/>
            <w:tcBorders>
              <w:top w:val="nil"/>
              <w:left w:val="nil"/>
              <w:bottom w:val="single" w:sz="4" w:space="0" w:color="auto"/>
              <w:right w:val="single" w:sz="4" w:space="0" w:color="auto"/>
            </w:tcBorders>
            <w:shd w:val="clear" w:color="auto" w:fill="auto"/>
            <w:noWrap/>
            <w:vAlign w:val="bottom"/>
            <w:hideMark/>
          </w:tcPr>
          <w:p w14:paraId="653C9CA0"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-228 235</w:t>
            </w:r>
          </w:p>
        </w:tc>
      </w:tr>
      <w:tr w:rsidR="008A0894" w:rsidRPr="008A0894" w14:paraId="420C66E0"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3304428"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Slovenia</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DB37CA3"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62 501</w:t>
            </w:r>
          </w:p>
        </w:tc>
        <w:tc>
          <w:tcPr>
            <w:tcW w:w="1700" w:type="dxa"/>
            <w:tcBorders>
              <w:top w:val="nil"/>
              <w:left w:val="nil"/>
              <w:bottom w:val="single" w:sz="4" w:space="0" w:color="auto"/>
              <w:right w:val="single" w:sz="4" w:space="0" w:color="auto"/>
            </w:tcBorders>
            <w:shd w:val="clear" w:color="auto" w:fill="auto"/>
            <w:noWrap/>
            <w:vAlign w:val="bottom"/>
            <w:hideMark/>
          </w:tcPr>
          <w:p w14:paraId="29C14558"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47 256</w:t>
            </w:r>
          </w:p>
        </w:tc>
        <w:tc>
          <w:tcPr>
            <w:tcW w:w="1720" w:type="dxa"/>
            <w:tcBorders>
              <w:top w:val="nil"/>
              <w:left w:val="nil"/>
              <w:bottom w:val="single" w:sz="4" w:space="0" w:color="auto"/>
              <w:right w:val="single" w:sz="4" w:space="0" w:color="auto"/>
            </w:tcBorders>
            <w:shd w:val="clear" w:color="auto" w:fill="auto"/>
            <w:noWrap/>
            <w:vAlign w:val="bottom"/>
            <w:hideMark/>
          </w:tcPr>
          <w:p w14:paraId="768E096C"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13 690</w:t>
            </w:r>
          </w:p>
        </w:tc>
      </w:tr>
      <w:tr w:rsidR="008A0894" w:rsidRPr="008A0894" w14:paraId="760A1503"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0D375EA"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Slovakia</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7B5F8A5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14 571</w:t>
            </w:r>
          </w:p>
        </w:tc>
        <w:tc>
          <w:tcPr>
            <w:tcW w:w="1700" w:type="dxa"/>
            <w:tcBorders>
              <w:top w:val="nil"/>
              <w:left w:val="nil"/>
              <w:bottom w:val="single" w:sz="4" w:space="0" w:color="auto"/>
              <w:right w:val="single" w:sz="4" w:space="0" w:color="auto"/>
            </w:tcBorders>
            <w:shd w:val="clear" w:color="auto" w:fill="auto"/>
            <w:noWrap/>
            <w:vAlign w:val="bottom"/>
            <w:hideMark/>
          </w:tcPr>
          <w:p w14:paraId="1B4B2105"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2 309</w:t>
            </w:r>
          </w:p>
        </w:tc>
        <w:tc>
          <w:tcPr>
            <w:tcW w:w="1720" w:type="dxa"/>
            <w:tcBorders>
              <w:top w:val="nil"/>
              <w:left w:val="nil"/>
              <w:bottom w:val="single" w:sz="4" w:space="0" w:color="auto"/>
              <w:right w:val="single" w:sz="4" w:space="0" w:color="auto"/>
            </w:tcBorders>
            <w:shd w:val="clear" w:color="auto" w:fill="auto"/>
            <w:noWrap/>
            <w:vAlign w:val="bottom"/>
            <w:hideMark/>
          </w:tcPr>
          <w:p w14:paraId="2C3E8892"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1 158</w:t>
            </w:r>
          </w:p>
        </w:tc>
      </w:tr>
      <w:tr w:rsidR="008A0894" w:rsidRPr="008A0894" w14:paraId="0BF5DBB6"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BD51B55"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Finland</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98686D6"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181 346</w:t>
            </w:r>
          </w:p>
        </w:tc>
        <w:tc>
          <w:tcPr>
            <w:tcW w:w="1700" w:type="dxa"/>
            <w:tcBorders>
              <w:top w:val="nil"/>
              <w:left w:val="nil"/>
              <w:bottom w:val="single" w:sz="4" w:space="0" w:color="auto"/>
              <w:right w:val="single" w:sz="4" w:space="0" w:color="auto"/>
            </w:tcBorders>
            <w:shd w:val="clear" w:color="auto" w:fill="auto"/>
            <w:noWrap/>
            <w:vAlign w:val="bottom"/>
            <w:hideMark/>
          </w:tcPr>
          <w:p w14:paraId="78EF9C6D"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55 744</w:t>
            </w:r>
          </w:p>
        </w:tc>
        <w:tc>
          <w:tcPr>
            <w:tcW w:w="1720" w:type="dxa"/>
            <w:tcBorders>
              <w:top w:val="nil"/>
              <w:left w:val="nil"/>
              <w:bottom w:val="single" w:sz="4" w:space="0" w:color="auto"/>
              <w:right w:val="single" w:sz="4" w:space="0" w:color="auto"/>
            </w:tcBorders>
            <w:shd w:val="clear" w:color="auto" w:fill="auto"/>
            <w:noWrap/>
            <w:vAlign w:val="bottom"/>
            <w:hideMark/>
          </w:tcPr>
          <w:p w14:paraId="1B50F5E4"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62 558</w:t>
            </w:r>
          </w:p>
        </w:tc>
      </w:tr>
      <w:tr w:rsidR="008A0894" w:rsidRPr="008A0894" w14:paraId="7016D698"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1FA8B36" w14:textId="77777777" w:rsidR="008A0894" w:rsidRPr="008A0894" w:rsidRDefault="008A0894" w:rsidP="008A0894">
            <w:pPr>
              <w:spacing w:after="0" w:line="240" w:lineRule="auto"/>
              <w:rPr>
                <w:rFonts w:ascii="Calibri" w:eastAsia="Times New Roman" w:hAnsi="Calibri" w:cs="Calibri"/>
                <w:b/>
                <w:bCs/>
                <w:color w:val="000000"/>
                <w:lang w:val="pl-PL" w:eastAsia="pl-PL"/>
              </w:rPr>
            </w:pPr>
            <w:proofErr w:type="spellStart"/>
            <w:r w:rsidRPr="008A0894">
              <w:rPr>
                <w:rFonts w:ascii="Calibri" w:eastAsia="Times New Roman" w:hAnsi="Calibri" w:cs="Calibri"/>
                <w:b/>
                <w:bCs/>
                <w:color w:val="000000"/>
                <w:lang w:val="pl-PL" w:eastAsia="pl-PL"/>
              </w:rPr>
              <w:t>Sweden</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33BB9C5E"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761 697</w:t>
            </w:r>
          </w:p>
        </w:tc>
        <w:tc>
          <w:tcPr>
            <w:tcW w:w="1700" w:type="dxa"/>
            <w:tcBorders>
              <w:top w:val="nil"/>
              <w:left w:val="nil"/>
              <w:bottom w:val="single" w:sz="4" w:space="0" w:color="auto"/>
              <w:right w:val="single" w:sz="4" w:space="0" w:color="auto"/>
            </w:tcBorders>
            <w:shd w:val="clear" w:color="auto" w:fill="auto"/>
            <w:noWrap/>
            <w:vAlign w:val="bottom"/>
            <w:hideMark/>
          </w:tcPr>
          <w:p w14:paraId="3F6A7E77"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212 365</w:t>
            </w:r>
          </w:p>
        </w:tc>
        <w:tc>
          <w:tcPr>
            <w:tcW w:w="1720" w:type="dxa"/>
            <w:tcBorders>
              <w:top w:val="nil"/>
              <w:left w:val="nil"/>
              <w:bottom w:val="single" w:sz="4" w:space="0" w:color="auto"/>
              <w:right w:val="single" w:sz="4" w:space="0" w:color="auto"/>
            </w:tcBorders>
            <w:shd w:val="clear" w:color="auto" w:fill="auto"/>
            <w:noWrap/>
            <w:vAlign w:val="bottom"/>
            <w:hideMark/>
          </w:tcPr>
          <w:p w14:paraId="73827D89"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209 600</w:t>
            </w:r>
          </w:p>
        </w:tc>
      </w:tr>
      <w:tr w:rsidR="008A0894" w:rsidRPr="008A0894" w14:paraId="7B1F1007" w14:textId="77777777" w:rsidTr="008A0894">
        <w:trPr>
          <w:trHeight w:val="290"/>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7337FBA" w14:textId="77777777" w:rsidR="008A0894" w:rsidRPr="008A0894" w:rsidRDefault="008A0894" w:rsidP="008A0894">
            <w:pPr>
              <w:spacing w:after="0" w:line="240" w:lineRule="auto"/>
              <w:rPr>
                <w:rFonts w:ascii="Calibri" w:eastAsia="Times New Roman" w:hAnsi="Calibri" w:cs="Calibri"/>
                <w:b/>
                <w:bCs/>
                <w:color w:val="000000"/>
                <w:lang w:val="pl-PL" w:eastAsia="pl-PL"/>
              </w:rPr>
            </w:pPr>
            <w:r w:rsidRPr="008A0894">
              <w:rPr>
                <w:rFonts w:ascii="Calibri" w:eastAsia="Times New Roman" w:hAnsi="Calibri" w:cs="Calibri"/>
                <w:b/>
                <w:bCs/>
                <w:color w:val="000000"/>
                <w:lang w:val="pl-PL" w:eastAsia="pl-PL"/>
              </w:rPr>
              <w:t xml:space="preserve">United </w:t>
            </w:r>
            <w:proofErr w:type="spellStart"/>
            <w:r w:rsidRPr="008A0894">
              <w:rPr>
                <w:rFonts w:ascii="Calibri" w:eastAsia="Times New Roman" w:hAnsi="Calibri" w:cs="Calibri"/>
                <w:b/>
                <w:bCs/>
                <w:color w:val="000000"/>
                <w:lang w:val="pl-PL" w:eastAsia="pl-PL"/>
              </w:rPr>
              <w:t>Kingdom</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4DB7DBCF"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3 414 161</w:t>
            </w:r>
          </w:p>
        </w:tc>
        <w:tc>
          <w:tcPr>
            <w:tcW w:w="1700" w:type="dxa"/>
            <w:tcBorders>
              <w:top w:val="nil"/>
              <w:left w:val="nil"/>
              <w:bottom w:val="single" w:sz="4" w:space="0" w:color="auto"/>
              <w:right w:val="single" w:sz="4" w:space="0" w:color="auto"/>
            </w:tcBorders>
            <w:shd w:val="clear" w:color="auto" w:fill="auto"/>
            <w:noWrap/>
            <w:vAlign w:val="bottom"/>
            <w:hideMark/>
          </w:tcPr>
          <w:p w14:paraId="21787ADA"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1 387 201</w:t>
            </w:r>
          </w:p>
        </w:tc>
        <w:tc>
          <w:tcPr>
            <w:tcW w:w="1720" w:type="dxa"/>
            <w:tcBorders>
              <w:top w:val="nil"/>
              <w:left w:val="nil"/>
              <w:bottom w:val="single" w:sz="4" w:space="0" w:color="auto"/>
              <w:right w:val="single" w:sz="4" w:space="0" w:color="auto"/>
            </w:tcBorders>
            <w:shd w:val="clear" w:color="auto" w:fill="auto"/>
            <w:noWrap/>
            <w:vAlign w:val="bottom"/>
            <w:hideMark/>
          </w:tcPr>
          <w:p w14:paraId="260DD131" w14:textId="77777777" w:rsidR="008A0894" w:rsidRPr="008A0894" w:rsidRDefault="008A0894" w:rsidP="008A0894">
            <w:pPr>
              <w:spacing w:after="0" w:line="240" w:lineRule="auto"/>
              <w:jc w:val="right"/>
              <w:rPr>
                <w:rFonts w:ascii="Calibri" w:eastAsia="Times New Roman" w:hAnsi="Calibri" w:cs="Calibri"/>
                <w:color w:val="000000"/>
                <w:lang w:val="pl-PL" w:eastAsia="pl-PL"/>
              </w:rPr>
            </w:pPr>
            <w:r w:rsidRPr="008A0894">
              <w:rPr>
                <w:rFonts w:ascii="Calibri" w:eastAsia="Times New Roman" w:hAnsi="Calibri" w:cs="Calibri"/>
                <w:color w:val="000000"/>
                <w:lang w:val="pl-PL" w:eastAsia="pl-PL"/>
              </w:rPr>
              <w:t>887 272</w:t>
            </w:r>
          </w:p>
        </w:tc>
      </w:tr>
    </w:tbl>
    <w:p w14:paraId="7D727A86" w14:textId="08B7F048" w:rsidR="00756D22" w:rsidRPr="00AB56A1" w:rsidRDefault="008A0894" w:rsidP="00AB05A6">
      <w:pPr>
        <w:spacing w:line="360" w:lineRule="auto"/>
        <w:ind w:firstLine="708"/>
        <w:jc w:val="both"/>
        <w:rPr>
          <w:rFonts w:ascii="Times New Roman" w:eastAsia="Times New Roman" w:hAnsi="Times New Roman" w:cs="Times New Roman"/>
          <w:sz w:val="24"/>
          <w:szCs w:val="24"/>
        </w:rPr>
      </w:pPr>
      <w:r>
        <w:rPr>
          <w:rFonts w:ascii="Times New Roman" w:hAnsi="Times New Roman"/>
          <w:b/>
          <w:sz w:val="24"/>
          <w:szCs w:val="24"/>
        </w:rPr>
        <w:fldChar w:fldCharType="end"/>
      </w:r>
      <w:r w:rsidR="00756D22" w:rsidRPr="00AB56A1">
        <w:rPr>
          <w:rFonts w:ascii="Times New Roman" w:hAnsi="Times New Roman"/>
          <w:sz w:val="24"/>
          <w:szCs w:val="24"/>
        </w:rPr>
        <w:t xml:space="preserve">Source: </w:t>
      </w:r>
      <w:r w:rsidR="00293A39">
        <w:rPr>
          <w:rFonts w:ascii="Times New Roman" w:hAnsi="Times New Roman"/>
          <w:sz w:val="24"/>
          <w:szCs w:val="24"/>
        </w:rPr>
        <w:t>Author’s</w:t>
      </w:r>
      <w:r w:rsidR="00756D22" w:rsidRPr="00AB56A1">
        <w:rPr>
          <w:rFonts w:ascii="Times New Roman" w:hAnsi="Times New Roman"/>
          <w:sz w:val="24"/>
          <w:szCs w:val="24"/>
        </w:rPr>
        <w:t xml:space="preserve"> calculations based on Eurostat data</w:t>
      </w:r>
    </w:p>
    <w:p w14:paraId="2BD3702D" w14:textId="77777777" w:rsidR="008445AA" w:rsidRPr="00AB56A1" w:rsidRDefault="008445AA" w:rsidP="00AB05A6">
      <w:pPr>
        <w:spacing w:after="0" w:line="360" w:lineRule="auto"/>
        <w:ind w:firstLine="708"/>
        <w:jc w:val="both"/>
        <w:rPr>
          <w:rFonts w:ascii="Times New Roman" w:eastAsia="Times New Roman" w:hAnsi="Times New Roman" w:cs="Times New Roman"/>
          <w:sz w:val="24"/>
          <w:szCs w:val="24"/>
        </w:rPr>
      </w:pPr>
    </w:p>
    <w:p w14:paraId="69832DCF" w14:textId="259B9FB5" w:rsidR="008445AA" w:rsidRPr="00AB56A1" w:rsidRDefault="008445AA"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As we mentioned </w:t>
      </w:r>
      <w:r w:rsidR="00FB7024">
        <w:rPr>
          <w:rFonts w:ascii="Times New Roman" w:hAnsi="Times New Roman"/>
          <w:sz w:val="24"/>
          <w:szCs w:val="24"/>
        </w:rPr>
        <w:t>hereinabove,</w:t>
      </w:r>
      <w:r w:rsidR="00FB7024" w:rsidRPr="00AB56A1">
        <w:rPr>
          <w:rFonts w:ascii="Times New Roman" w:hAnsi="Times New Roman"/>
          <w:sz w:val="24"/>
          <w:szCs w:val="24"/>
        </w:rPr>
        <w:t xml:space="preserve"> </w:t>
      </w:r>
      <w:r w:rsidRPr="00AB56A1">
        <w:rPr>
          <w:rFonts w:ascii="Times New Roman" w:hAnsi="Times New Roman"/>
          <w:sz w:val="24"/>
          <w:szCs w:val="24"/>
        </w:rPr>
        <w:t xml:space="preserve">a limited mobility of </w:t>
      </w:r>
      <w:r w:rsidR="00FB7024">
        <w:rPr>
          <w:rFonts w:ascii="Times New Roman" w:hAnsi="Times New Roman"/>
          <w:sz w:val="24"/>
          <w:szCs w:val="24"/>
        </w:rPr>
        <w:t xml:space="preserve">the </w:t>
      </w:r>
      <w:r w:rsidRPr="00AB56A1">
        <w:rPr>
          <w:rFonts w:ascii="Times New Roman" w:hAnsi="Times New Roman"/>
          <w:sz w:val="24"/>
          <w:szCs w:val="24"/>
        </w:rPr>
        <w:t xml:space="preserve">workforce within the EU hinders and slows down adjustment, so the so-called ‘asymmetric shocks’ occur. This problem actually occurs which is visible in differentiated unemployment rates, but we can also indicate some symptoms </w:t>
      </w:r>
      <w:r w:rsidR="00FB7024">
        <w:rPr>
          <w:rFonts w:ascii="Times New Roman" w:hAnsi="Times New Roman"/>
          <w:sz w:val="24"/>
          <w:szCs w:val="24"/>
        </w:rPr>
        <w:t>within</w:t>
      </w:r>
      <w:r w:rsidR="00FB7024" w:rsidRPr="00AB56A1">
        <w:rPr>
          <w:rFonts w:ascii="Times New Roman" w:hAnsi="Times New Roman"/>
          <w:sz w:val="24"/>
          <w:szCs w:val="24"/>
        </w:rPr>
        <w:t xml:space="preserve"> </w:t>
      </w:r>
      <w:r w:rsidRPr="00AB56A1">
        <w:rPr>
          <w:rFonts w:ascii="Times New Roman" w:hAnsi="Times New Roman"/>
          <w:sz w:val="24"/>
          <w:szCs w:val="24"/>
        </w:rPr>
        <w:t xml:space="preserve">the EU labour market that indicate that the flows of </w:t>
      </w:r>
      <w:r w:rsidR="00FB7024">
        <w:rPr>
          <w:rFonts w:ascii="Times New Roman" w:hAnsi="Times New Roman"/>
          <w:sz w:val="24"/>
          <w:szCs w:val="24"/>
        </w:rPr>
        <w:t xml:space="preserve">the </w:t>
      </w:r>
      <w:r w:rsidRPr="00AB56A1">
        <w:rPr>
          <w:rFonts w:ascii="Times New Roman" w:hAnsi="Times New Roman"/>
          <w:sz w:val="24"/>
          <w:szCs w:val="24"/>
        </w:rPr>
        <w:t xml:space="preserve">workforce alleviate economic and social inequalities caused by a financial crisis. It should be noted that (Table 9) such countries as Greece, Spain and Portugal were accepting immigrants during the period of economic growth (years 2004-08), at the time of </w:t>
      </w:r>
      <w:r w:rsidR="00FB7024">
        <w:rPr>
          <w:rFonts w:ascii="Times New Roman" w:hAnsi="Times New Roman"/>
          <w:sz w:val="24"/>
          <w:szCs w:val="24"/>
        </w:rPr>
        <w:t xml:space="preserve">the </w:t>
      </w:r>
      <w:r w:rsidRPr="00AB56A1">
        <w:rPr>
          <w:rFonts w:ascii="Times New Roman" w:hAnsi="Times New Roman"/>
          <w:sz w:val="24"/>
          <w:szCs w:val="24"/>
        </w:rPr>
        <w:t>crisis</w:t>
      </w:r>
      <w:r w:rsidR="00FB7024">
        <w:rPr>
          <w:rFonts w:ascii="Times New Roman" w:hAnsi="Times New Roman"/>
          <w:sz w:val="24"/>
          <w:szCs w:val="24"/>
        </w:rPr>
        <w:t>,</w:t>
      </w:r>
      <w:r w:rsidRPr="00AB56A1">
        <w:rPr>
          <w:rFonts w:ascii="Times New Roman" w:hAnsi="Times New Roman"/>
          <w:sz w:val="24"/>
          <w:szCs w:val="24"/>
        </w:rPr>
        <w:t xml:space="preserve"> however (2009-12), we can see an outflow of people who </w:t>
      </w:r>
      <w:r w:rsidR="00FB7024" w:rsidRPr="00AB56A1">
        <w:rPr>
          <w:rFonts w:ascii="Times New Roman" w:hAnsi="Times New Roman"/>
          <w:sz w:val="24"/>
          <w:szCs w:val="24"/>
        </w:rPr>
        <w:t>cho</w:t>
      </w:r>
      <w:r w:rsidR="00FB7024">
        <w:rPr>
          <w:rFonts w:ascii="Times New Roman" w:hAnsi="Times New Roman"/>
          <w:sz w:val="24"/>
          <w:szCs w:val="24"/>
        </w:rPr>
        <w:t>s</w:t>
      </w:r>
      <w:r w:rsidR="00FB7024" w:rsidRPr="00AB56A1">
        <w:rPr>
          <w:rFonts w:ascii="Times New Roman" w:hAnsi="Times New Roman"/>
          <w:sz w:val="24"/>
          <w:szCs w:val="24"/>
        </w:rPr>
        <w:t xml:space="preserve">e </w:t>
      </w:r>
      <w:r w:rsidRPr="00AB56A1">
        <w:rPr>
          <w:rFonts w:ascii="Times New Roman" w:hAnsi="Times New Roman"/>
          <w:sz w:val="24"/>
          <w:szCs w:val="24"/>
        </w:rPr>
        <w:t xml:space="preserve">economies where the economic growth was faster, such </w:t>
      </w:r>
      <w:r w:rsidRPr="00AB56A1">
        <w:rPr>
          <w:rFonts w:ascii="Times New Roman" w:hAnsi="Times New Roman"/>
          <w:sz w:val="24"/>
          <w:szCs w:val="24"/>
        </w:rPr>
        <w:lastRenderedPageBreak/>
        <w:t xml:space="preserve">as Germany or the Netherlands. Of course, we should keep in mind that the data presented hereinabove apply not only to </w:t>
      </w:r>
      <w:r w:rsidR="00FB7024">
        <w:rPr>
          <w:rFonts w:ascii="Times New Roman" w:hAnsi="Times New Roman"/>
          <w:sz w:val="24"/>
          <w:szCs w:val="24"/>
        </w:rPr>
        <w:t xml:space="preserve">the </w:t>
      </w:r>
      <w:r w:rsidRPr="00AB56A1">
        <w:rPr>
          <w:rFonts w:ascii="Times New Roman" w:hAnsi="Times New Roman"/>
          <w:sz w:val="24"/>
          <w:szCs w:val="24"/>
        </w:rPr>
        <w:t xml:space="preserve">movement of people within the </w:t>
      </w:r>
      <w:r w:rsidR="00FB7024">
        <w:rPr>
          <w:rFonts w:ascii="Times New Roman" w:hAnsi="Times New Roman"/>
          <w:sz w:val="24"/>
          <w:szCs w:val="24"/>
        </w:rPr>
        <w:t>EU</w:t>
      </w:r>
      <w:r w:rsidRPr="00AB56A1">
        <w:rPr>
          <w:rFonts w:ascii="Times New Roman" w:hAnsi="Times New Roman"/>
          <w:sz w:val="24"/>
          <w:szCs w:val="24"/>
        </w:rPr>
        <w:t xml:space="preserve">, but also take into account migrations from beyond the EU, so we can see immigrants from Africa, the Near East </w:t>
      </w:r>
      <w:r w:rsidR="00FB7024">
        <w:rPr>
          <w:rFonts w:ascii="Times New Roman" w:hAnsi="Times New Roman"/>
          <w:sz w:val="24"/>
          <w:szCs w:val="24"/>
        </w:rPr>
        <w:t>and</w:t>
      </w:r>
      <w:r w:rsidR="00FB7024" w:rsidRPr="00AB56A1">
        <w:rPr>
          <w:rFonts w:ascii="Times New Roman" w:hAnsi="Times New Roman"/>
          <w:sz w:val="24"/>
          <w:szCs w:val="24"/>
        </w:rPr>
        <w:t xml:space="preserve"> </w:t>
      </w:r>
      <w:r w:rsidRPr="00AB56A1">
        <w:rPr>
          <w:rFonts w:ascii="Times New Roman" w:hAnsi="Times New Roman"/>
          <w:sz w:val="24"/>
          <w:szCs w:val="24"/>
        </w:rPr>
        <w:t>Ukraine. We can see that the European labour market allocate</w:t>
      </w:r>
      <w:r w:rsidR="00FB7024">
        <w:rPr>
          <w:rFonts w:ascii="Times New Roman" w:hAnsi="Times New Roman"/>
          <w:sz w:val="24"/>
          <w:szCs w:val="24"/>
        </w:rPr>
        <w:t>s</w:t>
      </w:r>
      <w:r w:rsidRPr="00AB56A1">
        <w:rPr>
          <w:rFonts w:ascii="Times New Roman" w:hAnsi="Times New Roman"/>
          <w:sz w:val="24"/>
          <w:szCs w:val="24"/>
        </w:rPr>
        <w:t xml:space="preserve"> labour resources in </w:t>
      </w:r>
      <w:r w:rsidR="00FB7024">
        <w:rPr>
          <w:rFonts w:ascii="Times New Roman" w:hAnsi="Times New Roman"/>
          <w:sz w:val="24"/>
          <w:szCs w:val="24"/>
        </w:rPr>
        <w:t>an increasingly</w:t>
      </w:r>
      <w:r w:rsidRPr="00AB56A1">
        <w:rPr>
          <w:rFonts w:ascii="Times New Roman" w:hAnsi="Times New Roman"/>
          <w:sz w:val="24"/>
          <w:szCs w:val="24"/>
        </w:rPr>
        <w:t xml:space="preserve"> better way, i.e. </w:t>
      </w:r>
      <w:r w:rsidR="00865E3F" w:rsidRPr="00AB56A1">
        <w:rPr>
          <w:rFonts w:ascii="Times New Roman" w:hAnsi="Times New Roman"/>
          <w:sz w:val="24"/>
          <w:szCs w:val="24"/>
        </w:rPr>
        <w:t>w</w:t>
      </w:r>
      <w:r w:rsidRPr="00AB56A1">
        <w:rPr>
          <w:rFonts w:ascii="Times New Roman" w:hAnsi="Times New Roman"/>
          <w:sz w:val="24"/>
          <w:szCs w:val="24"/>
        </w:rPr>
        <w:t>e can see movements of employees according to the course of business cycles in particular countries.</w:t>
      </w:r>
    </w:p>
    <w:p w14:paraId="688158A1" w14:textId="77777777" w:rsidR="00756D22" w:rsidRPr="00AB56A1" w:rsidRDefault="00756D22" w:rsidP="00AB05A6">
      <w:pPr>
        <w:spacing w:after="0" w:line="360" w:lineRule="auto"/>
        <w:ind w:firstLine="708"/>
        <w:jc w:val="both"/>
        <w:rPr>
          <w:rFonts w:ascii="Times New Roman" w:eastAsia="Times New Roman" w:hAnsi="Times New Roman" w:cs="Times New Roman"/>
          <w:sz w:val="24"/>
          <w:szCs w:val="24"/>
        </w:rPr>
      </w:pPr>
    </w:p>
    <w:p w14:paraId="4532110C" w14:textId="4D9A7234" w:rsidR="00916C90" w:rsidRPr="00AB56A1" w:rsidRDefault="00916C90"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Accession to the EU in relation to the income</w:t>
      </w:r>
      <w:r w:rsidR="000445BA">
        <w:rPr>
          <w:rFonts w:ascii="Times New Roman" w:hAnsi="Times New Roman"/>
          <w:b/>
          <w:sz w:val="24"/>
          <w:szCs w:val="24"/>
        </w:rPr>
        <w:t xml:space="preserve"> dynamics and its structure</w:t>
      </w:r>
    </w:p>
    <w:p w14:paraId="2CC4DD2A" w14:textId="77777777" w:rsidR="00916C90" w:rsidRPr="00AB56A1" w:rsidRDefault="00916C90" w:rsidP="00AB05A6">
      <w:pPr>
        <w:spacing w:after="0" w:line="360" w:lineRule="auto"/>
        <w:jc w:val="both"/>
        <w:rPr>
          <w:rFonts w:ascii="Times New Roman" w:eastAsia="Times New Roman" w:hAnsi="Times New Roman" w:cs="Times New Roman"/>
          <w:b/>
          <w:sz w:val="24"/>
          <w:szCs w:val="24"/>
        </w:rPr>
      </w:pPr>
    </w:p>
    <w:p w14:paraId="17656C00" w14:textId="71B3C199"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The accession of some post-socialist countries to the European Union is without a doubt one of the most important economic and political events that occurred within the last several dozen years in Europe. The analysis of </w:t>
      </w:r>
      <w:r w:rsidR="008B0F81">
        <w:rPr>
          <w:rFonts w:ascii="Times New Roman" w:hAnsi="Times New Roman"/>
          <w:sz w:val="24"/>
          <w:szCs w:val="24"/>
        </w:rPr>
        <w:t xml:space="preserve">the </w:t>
      </w:r>
      <w:r w:rsidRPr="00AB56A1">
        <w:rPr>
          <w:rFonts w:ascii="Times New Roman" w:hAnsi="Times New Roman"/>
          <w:sz w:val="24"/>
          <w:szCs w:val="24"/>
        </w:rPr>
        <w:t xml:space="preserve">economic effects of accession to the EU cannot be limited only to an overview of </w:t>
      </w:r>
      <w:r w:rsidR="008B0F81">
        <w:rPr>
          <w:rFonts w:ascii="Times New Roman" w:hAnsi="Times New Roman"/>
          <w:sz w:val="24"/>
          <w:szCs w:val="24"/>
        </w:rPr>
        <w:t xml:space="preserve">the </w:t>
      </w:r>
      <w:r w:rsidRPr="00AB56A1">
        <w:rPr>
          <w:rFonts w:ascii="Times New Roman" w:hAnsi="Times New Roman"/>
          <w:sz w:val="24"/>
          <w:szCs w:val="24"/>
        </w:rPr>
        <w:t>economic results achieved by new EU</w:t>
      </w:r>
      <w:r w:rsidR="008B0F81">
        <w:rPr>
          <w:rFonts w:ascii="Times New Roman" w:hAnsi="Times New Roman"/>
          <w:sz w:val="24"/>
          <w:szCs w:val="24"/>
        </w:rPr>
        <w:t xml:space="preserve"> </w:t>
      </w:r>
      <w:r w:rsidRPr="00AB56A1">
        <w:rPr>
          <w:rFonts w:ascii="Times New Roman" w:hAnsi="Times New Roman"/>
          <w:sz w:val="24"/>
          <w:szCs w:val="24"/>
        </w:rPr>
        <w:t xml:space="preserve">members after 1 May 2004 because the process of </w:t>
      </w:r>
      <w:r w:rsidR="008B0F81">
        <w:rPr>
          <w:rFonts w:ascii="Times New Roman" w:hAnsi="Times New Roman"/>
          <w:sz w:val="24"/>
          <w:szCs w:val="24"/>
        </w:rPr>
        <w:t xml:space="preserve">the </w:t>
      </w:r>
      <w:r w:rsidRPr="00AB56A1">
        <w:rPr>
          <w:rFonts w:ascii="Times New Roman" w:hAnsi="Times New Roman"/>
          <w:sz w:val="24"/>
          <w:szCs w:val="24"/>
        </w:rPr>
        <w:t xml:space="preserve">integration of such countries as Poland and Hungary with the EU had a fundamental impact on </w:t>
      </w:r>
      <w:r w:rsidR="008B0F81">
        <w:rPr>
          <w:rFonts w:ascii="Times New Roman" w:hAnsi="Times New Roman"/>
          <w:sz w:val="24"/>
          <w:szCs w:val="24"/>
        </w:rPr>
        <w:t xml:space="preserve">the </w:t>
      </w:r>
      <w:r w:rsidRPr="00AB56A1">
        <w:rPr>
          <w:rFonts w:ascii="Times New Roman" w:hAnsi="Times New Roman"/>
          <w:sz w:val="24"/>
          <w:szCs w:val="24"/>
        </w:rPr>
        <w:t xml:space="preserve">economies of countries seeking EU membership already many years before the formal moment of becoming a full EU member. We should mention here above all the so-called ‘institutional anchoring’, i.e. a strategical orientation of economic policy towards </w:t>
      </w:r>
      <w:r w:rsidR="008B0F81">
        <w:rPr>
          <w:rFonts w:ascii="Times New Roman" w:hAnsi="Times New Roman"/>
          <w:sz w:val="24"/>
          <w:szCs w:val="24"/>
        </w:rPr>
        <w:t xml:space="preserve">the </w:t>
      </w:r>
      <w:r w:rsidRPr="00AB56A1">
        <w:rPr>
          <w:rFonts w:ascii="Times New Roman" w:hAnsi="Times New Roman"/>
          <w:sz w:val="24"/>
          <w:szCs w:val="24"/>
        </w:rPr>
        <w:t>adjustment of institutional reconstruction of the market to standards applicable in the European Union.</w:t>
      </w:r>
    </w:p>
    <w:p w14:paraId="28ED0A60" w14:textId="1389B7AD" w:rsidR="00916C90" w:rsidRDefault="008B0F81" w:rsidP="00AB05A6">
      <w:pPr>
        <w:spacing w:after="0" w:line="360" w:lineRule="auto"/>
        <w:ind w:firstLine="708"/>
        <w:jc w:val="both"/>
        <w:rPr>
          <w:rFonts w:ascii="Times New Roman" w:hAnsi="Times New Roman"/>
          <w:sz w:val="24"/>
          <w:szCs w:val="24"/>
        </w:rPr>
      </w:pPr>
      <w:r>
        <w:rPr>
          <w:rFonts w:ascii="Times New Roman" w:hAnsi="Times New Roman"/>
          <w:sz w:val="24"/>
          <w:szCs w:val="24"/>
        </w:rPr>
        <w:t>The</w:t>
      </w:r>
      <w:r w:rsidRPr="00AB56A1">
        <w:rPr>
          <w:rFonts w:ascii="Times New Roman" w:hAnsi="Times New Roman"/>
          <w:sz w:val="24"/>
          <w:szCs w:val="24"/>
        </w:rPr>
        <w:t xml:space="preserve"> </w:t>
      </w:r>
      <w:r w:rsidR="00916C90" w:rsidRPr="00AB56A1">
        <w:rPr>
          <w:rFonts w:ascii="Times New Roman" w:hAnsi="Times New Roman"/>
          <w:sz w:val="24"/>
          <w:szCs w:val="24"/>
        </w:rPr>
        <w:t xml:space="preserve">EU is an organisation gathering countries sharing </w:t>
      </w:r>
      <w:r>
        <w:rPr>
          <w:rFonts w:ascii="Times New Roman" w:hAnsi="Times New Roman"/>
          <w:sz w:val="24"/>
          <w:szCs w:val="24"/>
        </w:rPr>
        <w:t xml:space="preserve">a </w:t>
      </w:r>
      <w:r w:rsidR="00916C90" w:rsidRPr="00AB56A1">
        <w:rPr>
          <w:rFonts w:ascii="Times New Roman" w:hAnsi="Times New Roman"/>
          <w:sz w:val="24"/>
          <w:szCs w:val="24"/>
        </w:rPr>
        <w:t xml:space="preserve">similar view on </w:t>
      </w:r>
      <w:r>
        <w:rPr>
          <w:rFonts w:ascii="Times New Roman" w:hAnsi="Times New Roman"/>
          <w:sz w:val="24"/>
          <w:szCs w:val="24"/>
        </w:rPr>
        <w:t xml:space="preserve">the </w:t>
      </w:r>
      <w:r w:rsidR="00916C90" w:rsidRPr="00AB56A1">
        <w:rPr>
          <w:rFonts w:ascii="Times New Roman" w:hAnsi="Times New Roman"/>
          <w:sz w:val="24"/>
          <w:szCs w:val="24"/>
        </w:rPr>
        <w:t xml:space="preserve">basic foundations of </w:t>
      </w:r>
      <w:r>
        <w:rPr>
          <w:rFonts w:ascii="Times New Roman" w:hAnsi="Times New Roman"/>
          <w:sz w:val="24"/>
          <w:szCs w:val="24"/>
        </w:rPr>
        <w:t xml:space="preserve">the </w:t>
      </w:r>
      <w:r w:rsidR="00916C90" w:rsidRPr="00AB56A1">
        <w:rPr>
          <w:rFonts w:ascii="Times New Roman" w:hAnsi="Times New Roman"/>
          <w:sz w:val="24"/>
          <w:szCs w:val="24"/>
        </w:rPr>
        <w:t xml:space="preserve">functioning of the economy – all the EU countries are market economies with </w:t>
      </w:r>
      <w:r>
        <w:rPr>
          <w:rFonts w:ascii="Times New Roman" w:hAnsi="Times New Roman"/>
          <w:sz w:val="24"/>
          <w:szCs w:val="24"/>
        </w:rPr>
        <w:t xml:space="preserve">a </w:t>
      </w:r>
      <w:r w:rsidR="00916C90" w:rsidRPr="00AB56A1">
        <w:rPr>
          <w:rFonts w:ascii="Times New Roman" w:hAnsi="Times New Roman"/>
          <w:sz w:val="24"/>
          <w:szCs w:val="24"/>
        </w:rPr>
        <w:t xml:space="preserve">dominant private ownership of means of production. However, it does not mean that the economy models are the same. There are significant differences between particular countries in </w:t>
      </w:r>
      <w:r>
        <w:rPr>
          <w:rFonts w:ascii="Times New Roman" w:hAnsi="Times New Roman"/>
          <w:sz w:val="24"/>
          <w:szCs w:val="24"/>
        </w:rPr>
        <w:t xml:space="preserve">the </w:t>
      </w:r>
      <w:r w:rsidR="00916C90" w:rsidRPr="00AB56A1">
        <w:rPr>
          <w:rFonts w:ascii="Times New Roman" w:hAnsi="Times New Roman"/>
          <w:sz w:val="24"/>
          <w:szCs w:val="24"/>
        </w:rPr>
        <w:t xml:space="preserve">approach to </w:t>
      </w:r>
      <w:r>
        <w:rPr>
          <w:rFonts w:ascii="Times New Roman" w:hAnsi="Times New Roman"/>
          <w:sz w:val="24"/>
          <w:szCs w:val="24"/>
        </w:rPr>
        <w:t xml:space="preserve">the </w:t>
      </w:r>
      <w:r w:rsidR="00916C90" w:rsidRPr="00AB56A1">
        <w:rPr>
          <w:rFonts w:ascii="Times New Roman" w:hAnsi="Times New Roman"/>
          <w:sz w:val="24"/>
          <w:szCs w:val="24"/>
        </w:rPr>
        <w:t xml:space="preserve">redistribution of income in the economy. The data presented below show some </w:t>
      </w:r>
      <w:r>
        <w:rPr>
          <w:rFonts w:ascii="Times New Roman" w:hAnsi="Times New Roman"/>
          <w:sz w:val="24"/>
          <w:szCs w:val="24"/>
        </w:rPr>
        <w:t xml:space="preserve">of the </w:t>
      </w:r>
      <w:r w:rsidR="00916C90" w:rsidRPr="00AB56A1">
        <w:rPr>
          <w:rFonts w:ascii="Times New Roman" w:hAnsi="Times New Roman"/>
          <w:sz w:val="24"/>
          <w:szCs w:val="24"/>
        </w:rPr>
        <w:t>most important economy areas.</w:t>
      </w:r>
    </w:p>
    <w:p w14:paraId="25582032" w14:textId="61DD3F34"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7FCEAAA5" w14:textId="36756657"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50E3EEBF" w14:textId="534AF8BE"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7E356550" w14:textId="617CBB87"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0933017D" w14:textId="04CCCAEA"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3F9136D1" w14:textId="40F0D887"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72AF7C65" w14:textId="51442839"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3EC80486" w14:textId="1A625F26" w:rsidR="00293A39" w:rsidRDefault="00293A39" w:rsidP="00AB05A6">
      <w:pPr>
        <w:spacing w:after="0" w:line="360" w:lineRule="auto"/>
        <w:ind w:firstLine="708"/>
        <w:jc w:val="both"/>
        <w:rPr>
          <w:rFonts w:ascii="Times New Roman" w:eastAsia="Times New Roman" w:hAnsi="Times New Roman" w:cs="Times New Roman"/>
          <w:sz w:val="24"/>
          <w:szCs w:val="24"/>
        </w:rPr>
      </w:pPr>
    </w:p>
    <w:p w14:paraId="4AE8FFCF" w14:textId="77777777" w:rsidR="00293A39" w:rsidRPr="00AB56A1" w:rsidRDefault="00293A39" w:rsidP="00AB05A6">
      <w:pPr>
        <w:spacing w:after="0" w:line="360" w:lineRule="auto"/>
        <w:ind w:firstLine="708"/>
        <w:jc w:val="both"/>
        <w:rPr>
          <w:rFonts w:ascii="Times New Roman" w:eastAsia="Times New Roman" w:hAnsi="Times New Roman" w:cs="Times New Roman"/>
          <w:sz w:val="24"/>
          <w:szCs w:val="24"/>
        </w:rPr>
      </w:pPr>
    </w:p>
    <w:p w14:paraId="28B3DE91" w14:textId="67AA7B38" w:rsidR="00916C90" w:rsidRDefault="00916C90" w:rsidP="00AB05A6">
      <w:pPr>
        <w:spacing w:after="0" w:line="360" w:lineRule="auto"/>
        <w:jc w:val="both"/>
        <w:rPr>
          <w:rFonts w:ascii="Times New Roman" w:hAnsi="Times New Roman"/>
          <w:b/>
          <w:sz w:val="24"/>
          <w:szCs w:val="24"/>
        </w:rPr>
      </w:pPr>
      <w:r w:rsidRPr="00AB56A1">
        <w:rPr>
          <w:rFonts w:ascii="Times New Roman" w:hAnsi="Times New Roman"/>
          <w:b/>
          <w:sz w:val="24"/>
          <w:szCs w:val="24"/>
        </w:rPr>
        <w:lastRenderedPageBreak/>
        <w:t>Table 10. Selected data on EU economies in 2005</w:t>
      </w:r>
    </w:p>
    <w:tbl>
      <w:tblPr>
        <w:tblW w:w="5720" w:type="dxa"/>
        <w:tblInd w:w="55" w:type="dxa"/>
        <w:tblCellMar>
          <w:left w:w="70" w:type="dxa"/>
          <w:right w:w="70" w:type="dxa"/>
        </w:tblCellMar>
        <w:tblLook w:val="04A0" w:firstRow="1" w:lastRow="0" w:firstColumn="1" w:lastColumn="0" w:noHBand="0" w:noVBand="1"/>
      </w:tblPr>
      <w:tblGrid>
        <w:gridCol w:w="1540"/>
        <w:gridCol w:w="960"/>
        <w:gridCol w:w="1265"/>
        <w:gridCol w:w="1179"/>
        <w:gridCol w:w="1060"/>
      </w:tblGrid>
      <w:tr w:rsidR="00293A39" w:rsidRPr="00293A39" w14:paraId="66E6309E" w14:textId="77777777" w:rsidTr="000D2136">
        <w:trPr>
          <w:trHeight w:val="255"/>
        </w:trPr>
        <w:tc>
          <w:tcPr>
            <w:tcW w:w="1540" w:type="dxa"/>
            <w:tcBorders>
              <w:top w:val="single" w:sz="4" w:space="0" w:color="auto"/>
              <w:left w:val="single" w:sz="4" w:space="0" w:color="auto"/>
              <w:bottom w:val="nil"/>
              <w:right w:val="single" w:sz="4" w:space="0" w:color="auto"/>
            </w:tcBorders>
            <w:shd w:val="clear" w:color="auto" w:fill="auto"/>
            <w:noWrap/>
            <w:vAlign w:val="bottom"/>
            <w:hideMark/>
          </w:tcPr>
          <w:p w14:paraId="5FBB9546" w14:textId="76200C20"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Indicator</w:t>
            </w:r>
          </w:p>
        </w:tc>
        <w:tc>
          <w:tcPr>
            <w:tcW w:w="960" w:type="dxa"/>
            <w:tcBorders>
              <w:top w:val="single" w:sz="4" w:space="0" w:color="auto"/>
              <w:left w:val="nil"/>
              <w:bottom w:val="nil"/>
              <w:right w:val="single" w:sz="4" w:space="0" w:color="auto"/>
            </w:tcBorders>
            <w:shd w:val="clear" w:color="auto" w:fill="auto"/>
            <w:noWrap/>
            <w:vAlign w:val="bottom"/>
            <w:hideMark/>
          </w:tcPr>
          <w:p w14:paraId="3A5A82C3"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 </w:t>
            </w:r>
          </w:p>
        </w:tc>
        <w:tc>
          <w:tcPr>
            <w:tcW w:w="1200" w:type="dxa"/>
            <w:tcBorders>
              <w:top w:val="single" w:sz="4" w:space="0" w:color="auto"/>
              <w:left w:val="nil"/>
              <w:bottom w:val="nil"/>
              <w:right w:val="single" w:sz="4" w:space="0" w:color="auto"/>
            </w:tcBorders>
            <w:shd w:val="clear" w:color="auto" w:fill="auto"/>
            <w:noWrap/>
            <w:vAlign w:val="bottom"/>
            <w:hideMark/>
          </w:tcPr>
          <w:p w14:paraId="3D573D05" w14:textId="1E613202"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Public expenditures</w:t>
            </w:r>
          </w:p>
        </w:tc>
        <w:tc>
          <w:tcPr>
            <w:tcW w:w="960" w:type="dxa"/>
            <w:tcBorders>
              <w:top w:val="single" w:sz="4" w:space="0" w:color="auto"/>
              <w:left w:val="nil"/>
              <w:bottom w:val="nil"/>
              <w:right w:val="single" w:sz="4" w:space="0" w:color="auto"/>
            </w:tcBorders>
            <w:shd w:val="clear" w:color="auto" w:fill="auto"/>
            <w:noWrap/>
            <w:vAlign w:val="bottom"/>
            <w:hideMark/>
          </w:tcPr>
          <w:p w14:paraId="56CCBBE9" w14:textId="6B3BE12A"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Social expenditure</w:t>
            </w:r>
          </w:p>
        </w:tc>
        <w:tc>
          <w:tcPr>
            <w:tcW w:w="1060" w:type="dxa"/>
            <w:tcBorders>
              <w:top w:val="single" w:sz="4" w:space="0" w:color="auto"/>
              <w:left w:val="nil"/>
              <w:bottom w:val="nil"/>
              <w:right w:val="single" w:sz="4" w:space="0" w:color="auto"/>
            </w:tcBorders>
            <w:shd w:val="clear" w:color="auto" w:fill="auto"/>
            <w:noWrap/>
            <w:vAlign w:val="bottom"/>
            <w:hideMark/>
          </w:tcPr>
          <w:p w14:paraId="0751C459" w14:textId="68C9E9F5" w:rsidR="00293A39" w:rsidRPr="00293A39" w:rsidRDefault="00920206" w:rsidP="00920206">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Tax</w:t>
            </w:r>
          </w:p>
        </w:tc>
      </w:tr>
      <w:tr w:rsidR="00293A39" w:rsidRPr="00293A39" w14:paraId="3CCE2647"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E416A2" w14:textId="00BD140A"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Country</w:t>
            </w:r>
          </w:p>
        </w:tc>
        <w:tc>
          <w:tcPr>
            <w:tcW w:w="960" w:type="dxa"/>
            <w:tcBorders>
              <w:top w:val="nil"/>
              <w:left w:val="nil"/>
              <w:bottom w:val="single" w:sz="4" w:space="0" w:color="auto"/>
              <w:right w:val="single" w:sz="4" w:space="0" w:color="auto"/>
            </w:tcBorders>
            <w:shd w:val="clear" w:color="auto" w:fill="auto"/>
            <w:noWrap/>
            <w:vAlign w:val="bottom"/>
            <w:hideMark/>
          </w:tcPr>
          <w:p w14:paraId="74451AA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Gini</w:t>
            </w:r>
          </w:p>
        </w:tc>
        <w:tc>
          <w:tcPr>
            <w:tcW w:w="1200" w:type="dxa"/>
            <w:tcBorders>
              <w:top w:val="nil"/>
              <w:left w:val="nil"/>
              <w:bottom w:val="single" w:sz="4" w:space="0" w:color="auto"/>
              <w:right w:val="single" w:sz="4" w:space="0" w:color="auto"/>
            </w:tcBorders>
            <w:shd w:val="clear" w:color="auto" w:fill="auto"/>
            <w:noWrap/>
            <w:vAlign w:val="bottom"/>
            <w:hideMark/>
          </w:tcPr>
          <w:p w14:paraId="1A1C04F5" w14:textId="4A64498C"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 of GDP</w:t>
            </w:r>
            <w:r w:rsidR="00293A39" w:rsidRPr="00293A39">
              <w:rPr>
                <w:rFonts w:ascii="Times New Roman" w:eastAsia="Times New Roman" w:hAnsi="Times New Roman" w:cs="Times New Roman"/>
                <w:lang w:val="en-US"/>
              </w:rPr>
              <w:t>)</w:t>
            </w:r>
          </w:p>
        </w:tc>
        <w:tc>
          <w:tcPr>
            <w:tcW w:w="960" w:type="dxa"/>
            <w:tcBorders>
              <w:top w:val="nil"/>
              <w:left w:val="nil"/>
              <w:bottom w:val="single" w:sz="4" w:space="0" w:color="auto"/>
              <w:right w:val="single" w:sz="4" w:space="0" w:color="auto"/>
            </w:tcBorders>
            <w:shd w:val="clear" w:color="auto" w:fill="auto"/>
            <w:noWrap/>
            <w:vAlign w:val="bottom"/>
            <w:hideMark/>
          </w:tcPr>
          <w:p w14:paraId="3FF6FCC0" w14:textId="096AAF47" w:rsidR="00293A39" w:rsidRPr="00293A39" w:rsidRDefault="00293A39" w:rsidP="00920206">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 xml:space="preserve">(% </w:t>
            </w:r>
            <w:r w:rsidR="00920206">
              <w:rPr>
                <w:rFonts w:ascii="Times New Roman" w:eastAsia="Times New Roman" w:hAnsi="Times New Roman" w:cs="Times New Roman"/>
                <w:lang w:val="en-US"/>
              </w:rPr>
              <w:t>of GDP</w:t>
            </w:r>
            <w:r w:rsidRPr="00293A39">
              <w:rPr>
                <w:rFonts w:ascii="Times New Roman" w:eastAsia="Times New Roman" w:hAnsi="Times New Roman" w:cs="Times New Roman"/>
                <w:lang w:val="en-US"/>
              </w:rPr>
              <w:t>)</w:t>
            </w:r>
          </w:p>
        </w:tc>
        <w:tc>
          <w:tcPr>
            <w:tcW w:w="1060" w:type="dxa"/>
            <w:tcBorders>
              <w:top w:val="nil"/>
              <w:left w:val="nil"/>
              <w:bottom w:val="single" w:sz="4" w:space="0" w:color="auto"/>
              <w:right w:val="single" w:sz="4" w:space="0" w:color="auto"/>
            </w:tcBorders>
            <w:shd w:val="clear" w:color="auto" w:fill="auto"/>
            <w:noWrap/>
            <w:vAlign w:val="bottom"/>
            <w:hideMark/>
          </w:tcPr>
          <w:p w14:paraId="014B321D" w14:textId="49AC6216" w:rsidR="00293A39" w:rsidRPr="00293A39" w:rsidRDefault="00920206" w:rsidP="00920206">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wedge</w:t>
            </w:r>
            <w:r w:rsidR="00293A39" w:rsidRPr="00293A39">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of gross salary</w:t>
            </w:r>
            <w:r w:rsidR="00293A39" w:rsidRPr="00293A39">
              <w:rPr>
                <w:rFonts w:ascii="Times New Roman" w:eastAsia="Times New Roman" w:hAnsi="Times New Roman" w:cs="Times New Roman"/>
                <w:lang w:val="en-US"/>
              </w:rPr>
              <w:t>)</w:t>
            </w:r>
          </w:p>
        </w:tc>
      </w:tr>
      <w:tr w:rsidR="00293A39" w:rsidRPr="00293A39" w14:paraId="1A82D590"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9F3DEC" w14:textId="7D524E31"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Belgium</w:t>
            </w:r>
          </w:p>
        </w:tc>
        <w:tc>
          <w:tcPr>
            <w:tcW w:w="960" w:type="dxa"/>
            <w:tcBorders>
              <w:top w:val="nil"/>
              <w:left w:val="nil"/>
              <w:bottom w:val="single" w:sz="4" w:space="0" w:color="auto"/>
              <w:right w:val="single" w:sz="4" w:space="0" w:color="auto"/>
            </w:tcBorders>
            <w:shd w:val="clear" w:color="auto" w:fill="auto"/>
            <w:noWrap/>
            <w:vAlign w:val="bottom"/>
            <w:hideMark/>
          </w:tcPr>
          <w:p w14:paraId="37175AA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28</w:t>
            </w:r>
          </w:p>
        </w:tc>
        <w:tc>
          <w:tcPr>
            <w:tcW w:w="1200" w:type="dxa"/>
            <w:tcBorders>
              <w:top w:val="nil"/>
              <w:left w:val="nil"/>
              <w:bottom w:val="single" w:sz="4" w:space="0" w:color="auto"/>
              <w:right w:val="single" w:sz="4" w:space="0" w:color="auto"/>
            </w:tcBorders>
            <w:shd w:val="clear" w:color="auto" w:fill="auto"/>
            <w:noWrap/>
            <w:vAlign w:val="bottom"/>
            <w:hideMark/>
          </w:tcPr>
          <w:p w14:paraId="15FDA34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51,9</w:t>
            </w:r>
          </w:p>
        </w:tc>
        <w:tc>
          <w:tcPr>
            <w:tcW w:w="960" w:type="dxa"/>
            <w:tcBorders>
              <w:top w:val="nil"/>
              <w:left w:val="nil"/>
              <w:bottom w:val="single" w:sz="4" w:space="0" w:color="auto"/>
              <w:right w:val="single" w:sz="4" w:space="0" w:color="auto"/>
            </w:tcBorders>
            <w:shd w:val="clear" w:color="auto" w:fill="auto"/>
            <w:noWrap/>
            <w:vAlign w:val="bottom"/>
            <w:hideMark/>
          </w:tcPr>
          <w:p w14:paraId="3E6E39E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15,7</w:t>
            </w:r>
          </w:p>
        </w:tc>
        <w:tc>
          <w:tcPr>
            <w:tcW w:w="1060" w:type="dxa"/>
            <w:tcBorders>
              <w:top w:val="nil"/>
              <w:left w:val="nil"/>
              <w:bottom w:val="single" w:sz="4" w:space="0" w:color="auto"/>
              <w:right w:val="single" w:sz="4" w:space="0" w:color="auto"/>
            </w:tcBorders>
            <w:shd w:val="clear" w:color="auto" w:fill="auto"/>
            <w:noWrap/>
            <w:vAlign w:val="bottom"/>
            <w:hideMark/>
          </w:tcPr>
          <w:p w14:paraId="25B1367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43,6</w:t>
            </w:r>
          </w:p>
        </w:tc>
      </w:tr>
      <w:tr w:rsidR="00293A39" w:rsidRPr="00293A39" w14:paraId="7954F8A4"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847AB7D" w14:textId="7D42A3E5" w:rsidR="00293A39" w:rsidRPr="00293A39" w:rsidRDefault="00920206"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Bul</w:t>
            </w:r>
            <w:r w:rsidR="00293A39" w:rsidRPr="00293A39">
              <w:rPr>
                <w:rFonts w:ascii="Times New Roman" w:eastAsia="Times New Roman" w:hAnsi="Times New Roman" w:cs="Times New Roman"/>
                <w:lang w:val="en-US"/>
              </w:rPr>
              <w:t>garia</w:t>
            </w:r>
          </w:p>
        </w:tc>
        <w:tc>
          <w:tcPr>
            <w:tcW w:w="960" w:type="dxa"/>
            <w:tcBorders>
              <w:top w:val="nil"/>
              <w:left w:val="nil"/>
              <w:bottom w:val="single" w:sz="4" w:space="0" w:color="auto"/>
              <w:right w:val="single" w:sz="4" w:space="0" w:color="auto"/>
            </w:tcBorders>
            <w:shd w:val="clear" w:color="auto" w:fill="auto"/>
            <w:noWrap/>
            <w:vAlign w:val="bottom"/>
            <w:hideMark/>
          </w:tcPr>
          <w:p w14:paraId="608A9A6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25</w:t>
            </w:r>
          </w:p>
        </w:tc>
        <w:tc>
          <w:tcPr>
            <w:tcW w:w="1200" w:type="dxa"/>
            <w:tcBorders>
              <w:top w:val="nil"/>
              <w:left w:val="nil"/>
              <w:bottom w:val="single" w:sz="4" w:space="0" w:color="auto"/>
              <w:right w:val="single" w:sz="4" w:space="0" w:color="auto"/>
            </w:tcBorders>
            <w:shd w:val="clear" w:color="auto" w:fill="auto"/>
            <w:noWrap/>
            <w:vAlign w:val="bottom"/>
            <w:hideMark/>
          </w:tcPr>
          <w:p w14:paraId="4052198A"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37,3</w:t>
            </w:r>
          </w:p>
        </w:tc>
        <w:tc>
          <w:tcPr>
            <w:tcW w:w="960" w:type="dxa"/>
            <w:tcBorders>
              <w:top w:val="nil"/>
              <w:left w:val="nil"/>
              <w:bottom w:val="single" w:sz="4" w:space="0" w:color="auto"/>
              <w:right w:val="single" w:sz="4" w:space="0" w:color="auto"/>
            </w:tcBorders>
            <w:shd w:val="clear" w:color="auto" w:fill="auto"/>
            <w:noWrap/>
            <w:vAlign w:val="bottom"/>
            <w:hideMark/>
          </w:tcPr>
          <w:p w14:paraId="28AA9ED9"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10,6</w:t>
            </w:r>
          </w:p>
        </w:tc>
        <w:tc>
          <w:tcPr>
            <w:tcW w:w="1060" w:type="dxa"/>
            <w:tcBorders>
              <w:top w:val="nil"/>
              <w:left w:val="nil"/>
              <w:bottom w:val="single" w:sz="4" w:space="0" w:color="auto"/>
              <w:right w:val="single" w:sz="4" w:space="0" w:color="auto"/>
            </w:tcBorders>
            <w:shd w:val="clear" w:color="auto" w:fill="auto"/>
            <w:noWrap/>
            <w:vAlign w:val="bottom"/>
            <w:hideMark/>
          </w:tcPr>
          <w:p w14:paraId="349CAAE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33,2</w:t>
            </w:r>
          </w:p>
        </w:tc>
      </w:tr>
      <w:tr w:rsidR="00293A39" w:rsidRPr="00293A39" w14:paraId="170DDD57"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BD3A988" w14:textId="77777777" w:rsidR="00293A39" w:rsidRPr="00293A39" w:rsidRDefault="00293A39" w:rsidP="00293A39">
            <w:pPr>
              <w:spacing w:after="0" w:line="360" w:lineRule="auto"/>
              <w:jc w:val="both"/>
              <w:rPr>
                <w:rFonts w:ascii="Times New Roman" w:eastAsia="Times New Roman" w:hAnsi="Times New Roman" w:cs="Times New Roman"/>
                <w:lang w:val="en-US"/>
              </w:rPr>
            </w:pPr>
            <w:proofErr w:type="spellStart"/>
            <w:r w:rsidRPr="00293A39">
              <w:rPr>
                <w:rFonts w:ascii="Times New Roman" w:eastAsia="Times New Roman" w:hAnsi="Times New Roman" w:cs="Times New Roman"/>
                <w:lang w:val="en-US"/>
              </w:rPr>
              <w:t>Czechy</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21BAD49"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w:t>
            </w:r>
          </w:p>
        </w:tc>
        <w:tc>
          <w:tcPr>
            <w:tcW w:w="1200" w:type="dxa"/>
            <w:tcBorders>
              <w:top w:val="nil"/>
              <w:left w:val="nil"/>
              <w:bottom w:val="single" w:sz="4" w:space="0" w:color="auto"/>
              <w:right w:val="single" w:sz="4" w:space="0" w:color="auto"/>
            </w:tcBorders>
            <w:shd w:val="clear" w:color="auto" w:fill="auto"/>
            <w:noWrap/>
            <w:vAlign w:val="bottom"/>
            <w:hideMark/>
          </w:tcPr>
          <w:p w14:paraId="4AD38C0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w:t>
            </w:r>
          </w:p>
        </w:tc>
        <w:tc>
          <w:tcPr>
            <w:tcW w:w="960" w:type="dxa"/>
            <w:tcBorders>
              <w:top w:val="nil"/>
              <w:left w:val="nil"/>
              <w:bottom w:val="single" w:sz="4" w:space="0" w:color="auto"/>
              <w:right w:val="single" w:sz="4" w:space="0" w:color="auto"/>
            </w:tcBorders>
            <w:shd w:val="clear" w:color="auto" w:fill="auto"/>
            <w:noWrap/>
            <w:vAlign w:val="bottom"/>
            <w:hideMark/>
          </w:tcPr>
          <w:p w14:paraId="30B0DA51"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12</w:t>
            </w:r>
          </w:p>
        </w:tc>
        <w:tc>
          <w:tcPr>
            <w:tcW w:w="1060" w:type="dxa"/>
            <w:tcBorders>
              <w:top w:val="nil"/>
              <w:left w:val="nil"/>
              <w:bottom w:val="single" w:sz="4" w:space="0" w:color="auto"/>
              <w:right w:val="single" w:sz="4" w:space="0" w:color="auto"/>
            </w:tcBorders>
            <w:shd w:val="clear" w:color="auto" w:fill="auto"/>
            <w:noWrap/>
            <w:vAlign w:val="bottom"/>
            <w:hideMark/>
          </w:tcPr>
          <w:p w14:paraId="0BB4181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41,3</w:t>
            </w:r>
          </w:p>
        </w:tc>
      </w:tr>
      <w:tr w:rsidR="00293A39" w:rsidRPr="00293A39" w14:paraId="32EF2487"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F10D0E" w14:textId="7CB3A082"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Denmark</w:t>
            </w:r>
          </w:p>
        </w:tc>
        <w:tc>
          <w:tcPr>
            <w:tcW w:w="960" w:type="dxa"/>
            <w:tcBorders>
              <w:top w:val="nil"/>
              <w:left w:val="nil"/>
              <w:bottom w:val="single" w:sz="4" w:space="0" w:color="auto"/>
              <w:right w:val="single" w:sz="4" w:space="0" w:color="auto"/>
            </w:tcBorders>
            <w:shd w:val="clear" w:color="auto" w:fill="auto"/>
            <w:noWrap/>
            <w:vAlign w:val="bottom"/>
            <w:hideMark/>
          </w:tcPr>
          <w:p w14:paraId="7F8E7945"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23,9</w:t>
            </w:r>
          </w:p>
        </w:tc>
        <w:tc>
          <w:tcPr>
            <w:tcW w:w="1200" w:type="dxa"/>
            <w:tcBorders>
              <w:top w:val="nil"/>
              <w:left w:val="nil"/>
              <w:bottom w:val="single" w:sz="4" w:space="0" w:color="auto"/>
              <w:right w:val="single" w:sz="4" w:space="0" w:color="auto"/>
            </w:tcBorders>
            <w:shd w:val="clear" w:color="auto" w:fill="auto"/>
            <w:noWrap/>
            <w:vAlign w:val="bottom"/>
            <w:hideMark/>
          </w:tcPr>
          <w:p w14:paraId="17CF4C32"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52,8</w:t>
            </w:r>
          </w:p>
        </w:tc>
        <w:tc>
          <w:tcPr>
            <w:tcW w:w="960" w:type="dxa"/>
            <w:tcBorders>
              <w:top w:val="nil"/>
              <w:left w:val="nil"/>
              <w:bottom w:val="single" w:sz="4" w:space="0" w:color="auto"/>
              <w:right w:val="single" w:sz="4" w:space="0" w:color="auto"/>
            </w:tcBorders>
            <w:shd w:val="clear" w:color="auto" w:fill="auto"/>
            <w:noWrap/>
            <w:vAlign w:val="bottom"/>
            <w:hideMark/>
          </w:tcPr>
          <w:p w14:paraId="06AAE505"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16,3</w:t>
            </w:r>
          </w:p>
        </w:tc>
        <w:tc>
          <w:tcPr>
            <w:tcW w:w="1060" w:type="dxa"/>
            <w:tcBorders>
              <w:top w:val="nil"/>
              <w:left w:val="nil"/>
              <w:bottom w:val="single" w:sz="4" w:space="0" w:color="auto"/>
              <w:right w:val="single" w:sz="4" w:space="0" w:color="auto"/>
            </w:tcBorders>
            <w:shd w:val="clear" w:color="auto" w:fill="auto"/>
            <w:noWrap/>
            <w:vAlign w:val="bottom"/>
            <w:hideMark/>
          </w:tcPr>
          <w:p w14:paraId="6520B5E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37,1</w:t>
            </w:r>
          </w:p>
        </w:tc>
      </w:tr>
      <w:tr w:rsidR="00293A39" w:rsidRPr="00293A39" w14:paraId="4834897D"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591F12" w14:textId="0A4F9F3F"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Germany</w:t>
            </w:r>
          </w:p>
        </w:tc>
        <w:tc>
          <w:tcPr>
            <w:tcW w:w="960" w:type="dxa"/>
            <w:tcBorders>
              <w:top w:val="nil"/>
              <w:left w:val="nil"/>
              <w:bottom w:val="single" w:sz="4" w:space="0" w:color="auto"/>
              <w:right w:val="single" w:sz="4" w:space="0" w:color="auto"/>
            </w:tcBorders>
            <w:shd w:val="clear" w:color="auto" w:fill="auto"/>
            <w:noWrap/>
            <w:vAlign w:val="bottom"/>
            <w:hideMark/>
          </w:tcPr>
          <w:p w14:paraId="4509A8B7"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26,1</w:t>
            </w:r>
          </w:p>
        </w:tc>
        <w:tc>
          <w:tcPr>
            <w:tcW w:w="1200" w:type="dxa"/>
            <w:tcBorders>
              <w:top w:val="nil"/>
              <w:left w:val="nil"/>
              <w:bottom w:val="single" w:sz="4" w:space="0" w:color="auto"/>
              <w:right w:val="single" w:sz="4" w:space="0" w:color="auto"/>
            </w:tcBorders>
            <w:shd w:val="clear" w:color="auto" w:fill="auto"/>
            <w:noWrap/>
            <w:vAlign w:val="bottom"/>
            <w:hideMark/>
          </w:tcPr>
          <w:p w14:paraId="1E9A50A5"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46,9</w:t>
            </w:r>
          </w:p>
        </w:tc>
        <w:tc>
          <w:tcPr>
            <w:tcW w:w="960" w:type="dxa"/>
            <w:tcBorders>
              <w:top w:val="nil"/>
              <w:left w:val="nil"/>
              <w:bottom w:val="single" w:sz="4" w:space="0" w:color="auto"/>
              <w:right w:val="single" w:sz="4" w:space="0" w:color="auto"/>
            </w:tcBorders>
            <w:shd w:val="clear" w:color="auto" w:fill="auto"/>
            <w:noWrap/>
            <w:vAlign w:val="bottom"/>
            <w:hideMark/>
          </w:tcPr>
          <w:p w14:paraId="21148D7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18,5</w:t>
            </w:r>
          </w:p>
        </w:tc>
        <w:tc>
          <w:tcPr>
            <w:tcW w:w="1060" w:type="dxa"/>
            <w:tcBorders>
              <w:top w:val="nil"/>
              <w:left w:val="nil"/>
              <w:bottom w:val="single" w:sz="4" w:space="0" w:color="auto"/>
              <w:right w:val="single" w:sz="4" w:space="0" w:color="auto"/>
            </w:tcBorders>
            <w:shd w:val="clear" w:color="auto" w:fill="auto"/>
            <w:noWrap/>
            <w:vAlign w:val="bottom"/>
            <w:hideMark/>
          </w:tcPr>
          <w:p w14:paraId="2C8367D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37,5</w:t>
            </w:r>
          </w:p>
        </w:tc>
      </w:tr>
      <w:tr w:rsidR="00293A39" w:rsidRPr="00293A39" w14:paraId="729DE552"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28B521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Estonia</w:t>
            </w:r>
          </w:p>
        </w:tc>
        <w:tc>
          <w:tcPr>
            <w:tcW w:w="960" w:type="dxa"/>
            <w:tcBorders>
              <w:top w:val="nil"/>
              <w:left w:val="nil"/>
              <w:bottom w:val="single" w:sz="4" w:space="0" w:color="auto"/>
              <w:right w:val="single" w:sz="4" w:space="0" w:color="auto"/>
            </w:tcBorders>
            <w:shd w:val="clear" w:color="auto" w:fill="auto"/>
            <w:noWrap/>
            <w:vAlign w:val="bottom"/>
            <w:hideMark/>
          </w:tcPr>
          <w:p w14:paraId="55D8C90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34,1</w:t>
            </w:r>
          </w:p>
        </w:tc>
        <w:tc>
          <w:tcPr>
            <w:tcW w:w="1200" w:type="dxa"/>
            <w:tcBorders>
              <w:top w:val="nil"/>
              <w:left w:val="nil"/>
              <w:bottom w:val="single" w:sz="4" w:space="0" w:color="auto"/>
              <w:right w:val="single" w:sz="4" w:space="0" w:color="auto"/>
            </w:tcBorders>
            <w:shd w:val="clear" w:color="auto" w:fill="auto"/>
            <w:noWrap/>
            <w:vAlign w:val="bottom"/>
            <w:hideMark/>
          </w:tcPr>
          <w:p w14:paraId="78A4930A"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33,6</w:t>
            </w:r>
          </w:p>
        </w:tc>
        <w:tc>
          <w:tcPr>
            <w:tcW w:w="960" w:type="dxa"/>
            <w:tcBorders>
              <w:top w:val="nil"/>
              <w:left w:val="nil"/>
              <w:bottom w:val="single" w:sz="4" w:space="0" w:color="auto"/>
              <w:right w:val="single" w:sz="4" w:space="0" w:color="auto"/>
            </w:tcBorders>
            <w:shd w:val="clear" w:color="auto" w:fill="auto"/>
            <w:noWrap/>
            <w:vAlign w:val="bottom"/>
            <w:hideMark/>
          </w:tcPr>
          <w:p w14:paraId="5CA9D8B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8,9</w:t>
            </w:r>
          </w:p>
        </w:tc>
        <w:tc>
          <w:tcPr>
            <w:tcW w:w="1060" w:type="dxa"/>
            <w:tcBorders>
              <w:top w:val="nil"/>
              <w:left w:val="nil"/>
              <w:bottom w:val="single" w:sz="4" w:space="0" w:color="auto"/>
              <w:right w:val="single" w:sz="4" w:space="0" w:color="auto"/>
            </w:tcBorders>
            <w:shd w:val="clear" w:color="auto" w:fill="auto"/>
            <w:noWrap/>
            <w:vAlign w:val="bottom"/>
            <w:hideMark/>
          </w:tcPr>
          <w:p w14:paraId="7AED09C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33,8</w:t>
            </w:r>
          </w:p>
        </w:tc>
      </w:tr>
      <w:tr w:rsidR="00293A39" w:rsidRPr="00293A39" w14:paraId="3853C920"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E7371B4" w14:textId="77777777" w:rsidR="00293A39" w:rsidRPr="00293A39" w:rsidRDefault="00293A39" w:rsidP="00293A39">
            <w:pPr>
              <w:spacing w:after="0" w:line="360" w:lineRule="auto"/>
              <w:jc w:val="both"/>
              <w:rPr>
                <w:rFonts w:ascii="Times New Roman" w:eastAsia="Times New Roman" w:hAnsi="Times New Roman" w:cs="Times New Roman"/>
                <w:lang w:val="en-US"/>
              </w:rPr>
            </w:pPr>
            <w:proofErr w:type="spellStart"/>
            <w:r w:rsidRPr="00293A39">
              <w:rPr>
                <w:rFonts w:ascii="Times New Roman" w:eastAsia="Times New Roman" w:hAnsi="Times New Roman" w:cs="Times New Roman"/>
                <w:lang w:val="en-US"/>
              </w:rPr>
              <w:t>Irlandia</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DDDC40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31,9</w:t>
            </w:r>
          </w:p>
        </w:tc>
        <w:tc>
          <w:tcPr>
            <w:tcW w:w="1200" w:type="dxa"/>
            <w:tcBorders>
              <w:top w:val="nil"/>
              <w:left w:val="nil"/>
              <w:bottom w:val="single" w:sz="4" w:space="0" w:color="auto"/>
              <w:right w:val="single" w:sz="4" w:space="0" w:color="auto"/>
            </w:tcBorders>
            <w:shd w:val="clear" w:color="auto" w:fill="auto"/>
            <w:noWrap/>
            <w:vAlign w:val="bottom"/>
            <w:hideMark/>
          </w:tcPr>
          <w:p w14:paraId="5FB739B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33,8</w:t>
            </w:r>
          </w:p>
        </w:tc>
        <w:tc>
          <w:tcPr>
            <w:tcW w:w="960" w:type="dxa"/>
            <w:tcBorders>
              <w:top w:val="nil"/>
              <w:left w:val="nil"/>
              <w:bottom w:val="single" w:sz="4" w:space="0" w:color="auto"/>
              <w:right w:val="single" w:sz="4" w:space="0" w:color="auto"/>
            </w:tcBorders>
            <w:shd w:val="clear" w:color="auto" w:fill="auto"/>
            <w:noWrap/>
            <w:vAlign w:val="bottom"/>
            <w:hideMark/>
          </w:tcPr>
          <w:p w14:paraId="132EA35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9,4</w:t>
            </w:r>
          </w:p>
        </w:tc>
        <w:tc>
          <w:tcPr>
            <w:tcW w:w="1060" w:type="dxa"/>
            <w:tcBorders>
              <w:top w:val="nil"/>
              <w:left w:val="nil"/>
              <w:bottom w:val="single" w:sz="4" w:space="0" w:color="auto"/>
              <w:right w:val="single" w:sz="4" w:space="0" w:color="auto"/>
            </w:tcBorders>
            <w:shd w:val="clear" w:color="auto" w:fill="auto"/>
            <w:noWrap/>
            <w:vAlign w:val="bottom"/>
            <w:hideMark/>
          </w:tcPr>
          <w:p w14:paraId="7F3BE882"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25,4</w:t>
            </w:r>
          </w:p>
        </w:tc>
      </w:tr>
      <w:tr w:rsidR="00293A39" w:rsidRPr="00293A39" w14:paraId="5CB84AE3"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1579AE2" w14:textId="14346FE9"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Greece</w:t>
            </w:r>
          </w:p>
        </w:tc>
        <w:tc>
          <w:tcPr>
            <w:tcW w:w="960" w:type="dxa"/>
            <w:tcBorders>
              <w:top w:val="nil"/>
              <w:left w:val="nil"/>
              <w:bottom w:val="single" w:sz="4" w:space="0" w:color="auto"/>
              <w:right w:val="single" w:sz="4" w:space="0" w:color="auto"/>
            </w:tcBorders>
            <w:shd w:val="clear" w:color="auto" w:fill="auto"/>
            <w:noWrap/>
            <w:vAlign w:val="bottom"/>
            <w:hideMark/>
          </w:tcPr>
          <w:p w14:paraId="18DD83C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33,2</w:t>
            </w:r>
          </w:p>
        </w:tc>
        <w:tc>
          <w:tcPr>
            <w:tcW w:w="1200" w:type="dxa"/>
            <w:tcBorders>
              <w:top w:val="nil"/>
              <w:left w:val="nil"/>
              <w:bottom w:val="single" w:sz="4" w:space="0" w:color="auto"/>
              <w:right w:val="single" w:sz="4" w:space="0" w:color="auto"/>
            </w:tcBorders>
            <w:shd w:val="clear" w:color="auto" w:fill="auto"/>
            <w:noWrap/>
            <w:vAlign w:val="bottom"/>
            <w:hideMark/>
          </w:tcPr>
          <w:p w14:paraId="0516360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44,6</w:t>
            </w:r>
          </w:p>
        </w:tc>
        <w:tc>
          <w:tcPr>
            <w:tcW w:w="960" w:type="dxa"/>
            <w:tcBorders>
              <w:top w:val="nil"/>
              <w:left w:val="nil"/>
              <w:bottom w:val="single" w:sz="4" w:space="0" w:color="auto"/>
              <w:right w:val="single" w:sz="4" w:space="0" w:color="auto"/>
            </w:tcBorders>
            <w:shd w:val="clear" w:color="auto" w:fill="auto"/>
            <w:noWrap/>
            <w:vAlign w:val="bottom"/>
            <w:hideMark/>
          </w:tcPr>
          <w:p w14:paraId="4024694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14,1</w:t>
            </w:r>
          </w:p>
        </w:tc>
        <w:tc>
          <w:tcPr>
            <w:tcW w:w="1060" w:type="dxa"/>
            <w:tcBorders>
              <w:top w:val="nil"/>
              <w:left w:val="nil"/>
              <w:bottom w:val="single" w:sz="4" w:space="0" w:color="auto"/>
              <w:right w:val="single" w:sz="4" w:space="0" w:color="auto"/>
            </w:tcBorders>
            <w:shd w:val="clear" w:color="auto" w:fill="auto"/>
            <w:noWrap/>
            <w:vAlign w:val="bottom"/>
            <w:hideMark/>
          </w:tcPr>
          <w:p w14:paraId="4FE69A3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33,3</w:t>
            </w:r>
          </w:p>
        </w:tc>
      </w:tr>
      <w:tr w:rsidR="00293A39" w:rsidRPr="00293A39" w14:paraId="118E6BE7"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51DC4CD" w14:textId="014AC331"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Spain</w:t>
            </w:r>
          </w:p>
        </w:tc>
        <w:tc>
          <w:tcPr>
            <w:tcW w:w="960" w:type="dxa"/>
            <w:tcBorders>
              <w:top w:val="nil"/>
              <w:left w:val="nil"/>
              <w:bottom w:val="single" w:sz="4" w:space="0" w:color="auto"/>
              <w:right w:val="single" w:sz="4" w:space="0" w:color="auto"/>
            </w:tcBorders>
            <w:shd w:val="clear" w:color="auto" w:fill="auto"/>
            <w:noWrap/>
            <w:vAlign w:val="bottom"/>
            <w:hideMark/>
          </w:tcPr>
          <w:p w14:paraId="0213BA41"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31,8</w:t>
            </w:r>
          </w:p>
        </w:tc>
        <w:tc>
          <w:tcPr>
            <w:tcW w:w="1200" w:type="dxa"/>
            <w:tcBorders>
              <w:top w:val="nil"/>
              <w:left w:val="nil"/>
              <w:bottom w:val="single" w:sz="4" w:space="0" w:color="auto"/>
              <w:right w:val="single" w:sz="4" w:space="0" w:color="auto"/>
            </w:tcBorders>
            <w:shd w:val="clear" w:color="auto" w:fill="auto"/>
            <w:noWrap/>
            <w:vAlign w:val="bottom"/>
            <w:hideMark/>
          </w:tcPr>
          <w:p w14:paraId="49DCF18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38,4</w:t>
            </w:r>
          </w:p>
        </w:tc>
        <w:tc>
          <w:tcPr>
            <w:tcW w:w="960" w:type="dxa"/>
            <w:tcBorders>
              <w:top w:val="nil"/>
              <w:left w:val="nil"/>
              <w:bottom w:val="single" w:sz="4" w:space="0" w:color="auto"/>
              <w:right w:val="single" w:sz="4" w:space="0" w:color="auto"/>
            </w:tcBorders>
            <w:shd w:val="clear" w:color="auto" w:fill="auto"/>
            <w:noWrap/>
            <w:vAlign w:val="bottom"/>
            <w:hideMark/>
          </w:tcPr>
          <w:p w14:paraId="3C2BB94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11,6</w:t>
            </w:r>
          </w:p>
        </w:tc>
        <w:tc>
          <w:tcPr>
            <w:tcW w:w="1060" w:type="dxa"/>
            <w:tcBorders>
              <w:top w:val="nil"/>
              <w:left w:val="nil"/>
              <w:bottom w:val="single" w:sz="4" w:space="0" w:color="auto"/>
              <w:right w:val="single" w:sz="4" w:space="0" w:color="auto"/>
            </w:tcBorders>
            <w:shd w:val="clear" w:color="auto" w:fill="auto"/>
            <w:noWrap/>
            <w:vAlign w:val="bottom"/>
            <w:hideMark/>
          </w:tcPr>
          <w:p w14:paraId="7470418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32,3</w:t>
            </w:r>
          </w:p>
        </w:tc>
      </w:tr>
      <w:tr w:rsidR="00293A39" w:rsidRPr="00293A39" w14:paraId="106539F6"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FCE35A4" w14:textId="0032AC3F"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France</w:t>
            </w:r>
          </w:p>
        </w:tc>
        <w:tc>
          <w:tcPr>
            <w:tcW w:w="960" w:type="dxa"/>
            <w:tcBorders>
              <w:top w:val="nil"/>
              <w:left w:val="nil"/>
              <w:bottom w:val="single" w:sz="4" w:space="0" w:color="auto"/>
              <w:right w:val="single" w:sz="4" w:space="0" w:color="auto"/>
            </w:tcBorders>
            <w:shd w:val="clear" w:color="auto" w:fill="auto"/>
            <w:noWrap/>
            <w:vAlign w:val="bottom"/>
            <w:hideMark/>
          </w:tcPr>
          <w:p w14:paraId="44EC9B4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27,7</w:t>
            </w:r>
          </w:p>
        </w:tc>
        <w:tc>
          <w:tcPr>
            <w:tcW w:w="1200" w:type="dxa"/>
            <w:tcBorders>
              <w:top w:val="nil"/>
              <w:left w:val="nil"/>
              <w:bottom w:val="single" w:sz="4" w:space="0" w:color="auto"/>
              <w:right w:val="single" w:sz="4" w:space="0" w:color="auto"/>
            </w:tcBorders>
            <w:shd w:val="clear" w:color="auto" w:fill="auto"/>
            <w:noWrap/>
            <w:vAlign w:val="bottom"/>
            <w:hideMark/>
          </w:tcPr>
          <w:p w14:paraId="440F1185"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53,6</w:t>
            </w:r>
          </w:p>
        </w:tc>
        <w:tc>
          <w:tcPr>
            <w:tcW w:w="960" w:type="dxa"/>
            <w:tcBorders>
              <w:top w:val="nil"/>
              <w:left w:val="nil"/>
              <w:bottom w:val="single" w:sz="4" w:space="0" w:color="auto"/>
              <w:right w:val="single" w:sz="4" w:space="0" w:color="auto"/>
            </w:tcBorders>
            <w:shd w:val="clear" w:color="auto" w:fill="auto"/>
            <w:noWrap/>
            <w:vAlign w:val="bottom"/>
            <w:hideMark/>
          </w:tcPr>
          <w:p w14:paraId="112003C5"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17,8</w:t>
            </w:r>
          </w:p>
        </w:tc>
        <w:tc>
          <w:tcPr>
            <w:tcW w:w="1060" w:type="dxa"/>
            <w:tcBorders>
              <w:top w:val="nil"/>
              <w:left w:val="nil"/>
              <w:bottom w:val="single" w:sz="4" w:space="0" w:color="auto"/>
              <w:right w:val="single" w:sz="4" w:space="0" w:color="auto"/>
            </w:tcBorders>
            <w:shd w:val="clear" w:color="auto" w:fill="auto"/>
            <w:noWrap/>
            <w:vAlign w:val="bottom"/>
            <w:hideMark/>
          </w:tcPr>
          <w:p w14:paraId="143D57F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39,3</w:t>
            </w:r>
          </w:p>
        </w:tc>
      </w:tr>
      <w:tr w:rsidR="00293A39" w:rsidRPr="00293A39" w14:paraId="39EF270C"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6D5CEC" w14:textId="526CF8AA"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Italy</w:t>
            </w:r>
          </w:p>
        </w:tc>
        <w:tc>
          <w:tcPr>
            <w:tcW w:w="960" w:type="dxa"/>
            <w:tcBorders>
              <w:top w:val="nil"/>
              <w:left w:val="nil"/>
              <w:bottom w:val="single" w:sz="4" w:space="0" w:color="auto"/>
              <w:right w:val="single" w:sz="4" w:space="0" w:color="auto"/>
            </w:tcBorders>
            <w:shd w:val="clear" w:color="auto" w:fill="auto"/>
            <w:noWrap/>
            <w:vAlign w:val="bottom"/>
            <w:hideMark/>
          </w:tcPr>
          <w:p w14:paraId="7C92994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32,8</w:t>
            </w:r>
          </w:p>
        </w:tc>
        <w:tc>
          <w:tcPr>
            <w:tcW w:w="1200" w:type="dxa"/>
            <w:tcBorders>
              <w:top w:val="nil"/>
              <w:left w:val="nil"/>
              <w:bottom w:val="single" w:sz="4" w:space="0" w:color="auto"/>
              <w:right w:val="single" w:sz="4" w:space="0" w:color="auto"/>
            </w:tcBorders>
            <w:shd w:val="clear" w:color="auto" w:fill="auto"/>
            <w:noWrap/>
            <w:vAlign w:val="bottom"/>
            <w:hideMark/>
          </w:tcPr>
          <w:p w14:paraId="1F1041C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47,9</w:t>
            </w:r>
          </w:p>
        </w:tc>
        <w:tc>
          <w:tcPr>
            <w:tcW w:w="960" w:type="dxa"/>
            <w:tcBorders>
              <w:top w:val="nil"/>
              <w:left w:val="nil"/>
              <w:bottom w:val="single" w:sz="4" w:space="0" w:color="auto"/>
              <w:right w:val="single" w:sz="4" w:space="0" w:color="auto"/>
            </w:tcBorders>
            <w:shd w:val="clear" w:color="auto" w:fill="auto"/>
            <w:noWrap/>
            <w:vAlign w:val="bottom"/>
            <w:hideMark/>
          </w:tcPr>
          <w:p w14:paraId="4DB8D75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16,9</w:t>
            </w:r>
          </w:p>
        </w:tc>
        <w:tc>
          <w:tcPr>
            <w:tcW w:w="1060" w:type="dxa"/>
            <w:tcBorders>
              <w:top w:val="nil"/>
              <w:left w:val="nil"/>
              <w:bottom w:val="single" w:sz="4" w:space="0" w:color="auto"/>
              <w:right w:val="single" w:sz="4" w:space="0" w:color="auto"/>
            </w:tcBorders>
            <w:shd w:val="clear" w:color="auto" w:fill="auto"/>
            <w:noWrap/>
            <w:vAlign w:val="bottom"/>
            <w:hideMark/>
          </w:tcPr>
          <w:p w14:paraId="472A399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41,1</w:t>
            </w:r>
          </w:p>
        </w:tc>
      </w:tr>
      <w:tr w:rsidR="00293A39" w:rsidRPr="00293A39" w14:paraId="78372F15"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6B9DA1E" w14:textId="22CAB66B"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Cypr</w:t>
            </w:r>
            <w:r>
              <w:rPr>
                <w:rFonts w:ascii="Times New Roman" w:eastAsia="Times New Roman" w:hAnsi="Times New Roman" w:cs="Times New Roman"/>
                <w:lang w:val="en-US"/>
              </w:rPr>
              <w:t>us</w:t>
            </w:r>
          </w:p>
        </w:tc>
        <w:tc>
          <w:tcPr>
            <w:tcW w:w="960" w:type="dxa"/>
            <w:tcBorders>
              <w:top w:val="nil"/>
              <w:left w:val="nil"/>
              <w:bottom w:val="single" w:sz="4" w:space="0" w:color="auto"/>
              <w:right w:val="single" w:sz="4" w:space="0" w:color="auto"/>
            </w:tcBorders>
            <w:shd w:val="clear" w:color="auto" w:fill="auto"/>
            <w:noWrap/>
            <w:vAlign w:val="bottom"/>
            <w:hideMark/>
          </w:tcPr>
          <w:p w14:paraId="42F173C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28,7</w:t>
            </w:r>
          </w:p>
        </w:tc>
        <w:tc>
          <w:tcPr>
            <w:tcW w:w="1200" w:type="dxa"/>
            <w:tcBorders>
              <w:top w:val="nil"/>
              <w:left w:val="nil"/>
              <w:bottom w:val="single" w:sz="4" w:space="0" w:color="auto"/>
              <w:right w:val="single" w:sz="4" w:space="0" w:color="auto"/>
            </w:tcBorders>
            <w:shd w:val="clear" w:color="auto" w:fill="auto"/>
            <w:noWrap/>
            <w:vAlign w:val="bottom"/>
            <w:hideMark/>
          </w:tcPr>
          <w:p w14:paraId="43F4ADE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43,1</w:t>
            </w:r>
          </w:p>
        </w:tc>
        <w:tc>
          <w:tcPr>
            <w:tcW w:w="960" w:type="dxa"/>
            <w:tcBorders>
              <w:top w:val="nil"/>
              <w:left w:val="nil"/>
              <w:bottom w:val="single" w:sz="4" w:space="0" w:color="auto"/>
              <w:right w:val="single" w:sz="4" w:space="0" w:color="auto"/>
            </w:tcBorders>
            <w:shd w:val="clear" w:color="auto" w:fill="auto"/>
            <w:noWrap/>
            <w:vAlign w:val="bottom"/>
            <w:hideMark/>
          </w:tcPr>
          <w:p w14:paraId="1CC071BA"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12,8</w:t>
            </w:r>
          </w:p>
        </w:tc>
        <w:tc>
          <w:tcPr>
            <w:tcW w:w="1060" w:type="dxa"/>
            <w:tcBorders>
              <w:top w:val="nil"/>
              <w:left w:val="nil"/>
              <w:bottom w:val="single" w:sz="4" w:space="0" w:color="auto"/>
              <w:right w:val="single" w:sz="4" w:space="0" w:color="auto"/>
            </w:tcBorders>
            <w:shd w:val="clear" w:color="auto" w:fill="auto"/>
            <w:noWrap/>
            <w:vAlign w:val="bottom"/>
            <w:hideMark/>
          </w:tcPr>
          <w:p w14:paraId="1DD7BB3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24,4</w:t>
            </w:r>
          </w:p>
        </w:tc>
      </w:tr>
      <w:tr w:rsidR="00293A39" w:rsidRPr="00293A39" w14:paraId="3B8A85AE"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16389A" w14:textId="6D9AF52E"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Latvia</w:t>
            </w:r>
          </w:p>
        </w:tc>
        <w:tc>
          <w:tcPr>
            <w:tcW w:w="960" w:type="dxa"/>
            <w:tcBorders>
              <w:top w:val="nil"/>
              <w:left w:val="nil"/>
              <w:bottom w:val="single" w:sz="4" w:space="0" w:color="auto"/>
              <w:right w:val="single" w:sz="4" w:space="0" w:color="auto"/>
            </w:tcBorders>
            <w:shd w:val="clear" w:color="auto" w:fill="auto"/>
            <w:noWrap/>
            <w:vAlign w:val="bottom"/>
            <w:hideMark/>
          </w:tcPr>
          <w:p w14:paraId="07867571"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36,1</w:t>
            </w:r>
          </w:p>
        </w:tc>
        <w:tc>
          <w:tcPr>
            <w:tcW w:w="1200" w:type="dxa"/>
            <w:tcBorders>
              <w:top w:val="nil"/>
              <w:left w:val="nil"/>
              <w:bottom w:val="single" w:sz="4" w:space="0" w:color="auto"/>
              <w:right w:val="single" w:sz="4" w:space="0" w:color="auto"/>
            </w:tcBorders>
            <w:shd w:val="clear" w:color="auto" w:fill="auto"/>
            <w:noWrap/>
            <w:vAlign w:val="bottom"/>
            <w:hideMark/>
          </w:tcPr>
          <w:p w14:paraId="4C542F8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35,8</w:t>
            </w:r>
          </w:p>
        </w:tc>
        <w:tc>
          <w:tcPr>
            <w:tcW w:w="960" w:type="dxa"/>
            <w:tcBorders>
              <w:top w:val="nil"/>
              <w:left w:val="nil"/>
              <w:bottom w:val="single" w:sz="4" w:space="0" w:color="auto"/>
              <w:right w:val="single" w:sz="4" w:space="0" w:color="auto"/>
            </w:tcBorders>
            <w:shd w:val="clear" w:color="auto" w:fill="auto"/>
            <w:noWrap/>
            <w:vAlign w:val="bottom"/>
            <w:hideMark/>
          </w:tcPr>
          <w:p w14:paraId="54AFAF0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8,4</w:t>
            </w:r>
          </w:p>
        </w:tc>
        <w:tc>
          <w:tcPr>
            <w:tcW w:w="1060" w:type="dxa"/>
            <w:tcBorders>
              <w:top w:val="nil"/>
              <w:left w:val="nil"/>
              <w:bottom w:val="single" w:sz="4" w:space="0" w:color="auto"/>
              <w:right w:val="single" w:sz="4" w:space="0" w:color="auto"/>
            </w:tcBorders>
            <w:shd w:val="clear" w:color="auto" w:fill="auto"/>
            <w:noWrap/>
            <w:vAlign w:val="bottom"/>
            <w:hideMark/>
          </w:tcPr>
          <w:p w14:paraId="72DA4B6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33,2</w:t>
            </w:r>
          </w:p>
        </w:tc>
      </w:tr>
      <w:tr w:rsidR="00293A39" w:rsidRPr="00293A39" w14:paraId="7B01EB6B"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C373BF4" w14:textId="002F3F23"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Lithuania</w:t>
            </w:r>
          </w:p>
        </w:tc>
        <w:tc>
          <w:tcPr>
            <w:tcW w:w="960" w:type="dxa"/>
            <w:tcBorders>
              <w:top w:val="nil"/>
              <w:left w:val="nil"/>
              <w:bottom w:val="single" w:sz="4" w:space="0" w:color="auto"/>
              <w:right w:val="single" w:sz="4" w:space="0" w:color="auto"/>
            </w:tcBorders>
            <w:shd w:val="clear" w:color="auto" w:fill="auto"/>
            <w:noWrap/>
            <w:vAlign w:val="bottom"/>
            <w:hideMark/>
          </w:tcPr>
          <w:p w14:paraId="7E03CE03"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36,3</w:t>
            </w:r>
          </w:p>
        </w:tc>
        <w:tc>
          <w:tcPr>
            <w:tcW w:w="1200" w:type="dxa"/>
            <w:tcBorders>
              <w:top w:val="nil"/>
              <w:left w:val="nil"/>
              <w:bottom w:val="single" w:sz="4" w:space="0" w:color="auto"/>
              <w:right w:val="single" w:sz="4" w:space="0" w:color="auto"/>
            </w:tcBorders>
            <w:shd w:val="clear" w:color="auto" w:fill="auto"/>
            <w:noWrap/>
            <w:vAlign w:val="bottom"/>
            <w:hideMark/>
          </w:tcPr>
          <w:p w14:paraId="7303492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33,2</w:t>
            </w:r>
          </w:p>
        </w:tc>
        <w:tc>
          <w:tcPr>
            <w:tcW w:w="960" w:type="dxa"/>
            <w:tcBorders>
              <w:top w:val="nil"/>
              <w:left w:val="nil"/>
              <w:bottom w:val="single" w:sz="4" w:space="0" w:color="auto"/>
              <w:right w:val="single" w:sz="4" w:space="0" w:color="auto"/>
            </w:tcBorders>
            <w:shd w:val="clear" w:color="auto" w:fill="auto"/>
            <w:noWrap/>
            <w:vAlign w:val="bottom"/>
            <w:hideMark/>
          </w:tcPr>
          <w:p w14:paraId="6019D44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8,5</w:t>
            </w:r>
          </w:p>
        </w:tc>
        <w:tc>
          <w:tcPr>
            <w:tcW w:w="1060" w:type="dxa"/>
            <w:tcBorders>
              <w:top w:val="nil"/>
              <w:left w:val="nil"/>
              <w:bottom w:val="single" w:sz="4" w:space="0" w:color="auto"/>
              <w:right w:val="single" w:sz="4" w:space="0" w:color="auto"/>
            </w:tcBorders>
            <w:shd w:val="clear" w:color="auto" w:fill="auto"/>
            <w:noWrap/>
            <w:vAlign w:val="bottom"/>
            <w:hideMark/>
          </w:tcPr>
          <w:p w14:paraId="59F083EC"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34,8</w:t>
            </w:r>
          </w:p>
        </w:tc>
      </w:tr>
      <w:tr w:rsidR="00293A39" w:rsidRPr="00293A39" w14:paraId="3E0C7770"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B15D49" w14:textId="44FDB044"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Lux</w:t>
            </w:r>
            <w:r w:rsidRPr="00293A39">
              <w:rPr>
                <w:rFonts w:ascii="Times New Roman" w:eastAsia="Times New Roman" w:hAnsi="Times New Roman" w:cs="Times New Roman"/>
                <w:lang w:val="en-US"/>
              </w:rPr>
              <w:t>embourg</w:t>
            </w:r>
          </w:p>
        </w:tc>
        <w:tc>
          <w:tcPr>
            <w:tcW w:w="960" w:type="dxa"/>
            <w:tcBorders>
              <w:top w:val="nil"/>
              <w:left w:val="nil"/>
              <w:bottom w:val="single" w:sz="4" w:space="0" w:color="auto"/>
              <w:right w:val="single" w:sz="4" w:space="0" w:color="auto"/>
            </w:tcBorders>
            <w:shd w:val="clear" w:color="auto" w:fill="auto"/>
            <w:noWrap/>
            <w:vAlign w:val="bottom"/>
            <w:hideMark/>
          </w:tcPr>
          <w:p w14:paraId="1654854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26,5</w:t>
            </w:r>
          </w:p>
        </w:tc>
        <w:tc>
          <w:tcPr>
            <w:tcW w:w="1200" w:type="dxa"/>
            <w:tcBorders>
              <w:top w:val="nil"/>
              <w:left w:val="nil"/>
              <w:bottom w:val="single" w:sz="4" w:space="0" w:color="auto"/>
              <w:right w:val="single" w:sz="4" w:space="0" w:color="auto"/>
            </w:tcBorders>
            <w:shd w:val="clear" w:color="auto" w:fill="auto"/>
            <w:noWrap/>
            <w:vAlign w:val="bottom"/>
            <w:hideMark/>
          </w:tcPr>
          <w:p w14:paraId="43899A6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41,5</w:t>
            </w:r>
          </w:p>
        </w:tc>
        <w:tc>
          <w:tcPr>
            <w:tcW w:w="960" w:type="dxa"/>
            <w:tcBorders>
              <w:top w:val="nil"/>
              <w:left w:val="nil"/>
              <w:bottom w:val="single" w:sz="4" w:space="0" w:color="auto"/>
              <w:right w:val="single" w:sz="4" w:space="0" w:color="auto"/>
            </w:tcBorders>
            <w:shd w:val="clear" w:color="auto" w:fill="auto"/>
            <w:noWrap/>
            <w:vAlign w:val="bottom"/>
            <w:hideMark/>
          </w:tcPr>
          <w:p w14:paraId="10F568A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14,4</w:t>
            </w:r>
          </w:p>
        </w:tc>
        <w:tc>
          <w:tcPr>
            <w:tcW w:w="1060" w:type="dxa"/>
            <w:tcBorders>
              <w:top w:val="nil"/>
              <w:left w:val="nil"/>
              <w:bottom w:val="single" w:sz="4" w:space="0" w:color="auto"/>
              <w:right w:val="single" w:sz="4" w:space="0" w:color="auto"/>
            </w:tcBorders>
            <w:shd w:val="clear" w:color="auto" w:fill="auto"/>
            <w:noWrap/>
            <w:vAlign w:val="bottom"/>
            <w:hideMark/>
          </w:tcPr>
          <w:p w14:paraId="31BD1647"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30</w:t>
            </w:r>
          </w:p>
        </w:tc>
      </w:tr>
      <w:tr w:rsidR="00293A39" w:rsidRPr="00293A39" w14:paraId="496B029E"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F4ECEC3" w14:textId="6CC1611C"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Hungary</w:t>
            </w:r>
          </w:p>
        </w:tc>
        <w:tc>
          <w:tcPr>
            <w:tcW w:w="960" w:type="dxa"/>
            <w:tcBorders>
              <w:top w:val="nil"/>
              <w:left w:val="nil"/>
              <w:bottom w:val="single" w:sz="4" w:space="0" w:color="auto"/>
              <w:right w:val="single" w:sz="4" w:space="0" w:color="auto"/>
            </w:tcBorders>
            <w:shd w:val="clear" w:color="auto" w:fill="auto"/>
            <w:noWrap/>
            <w:vAlign w:val="bottom"/>
            <w:hideMark/>
          </w:tcPr>
          <w:p w14:paraId="0D5F0F32"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27,6</w:t>
            </w:r>
          </w:p>
        </w:tc>
        <w:tc>
          <w:tcPr>
            <w:tcW w:w="1200" w:type="dxa"/>
            <w:tcBorders>
              <w:top w:val="nil"/>
              <w:left w:val="nil"/>
              <w:bottom w:val="single" w:sz="4" w:space="0" w:color="auto"/>
              <w:right w:val="single" w:sz="4" w:space="0" w:color="auto"/>
            </w:tcBorders>
            <w:shd w:val="clear" w:color="auto" w:fill="auto"/>
            <w:noWrap/>
            <w:vAlign w:val="bottom"/>
            <w:hideMark/>
          </w:tcPr>
          <w:p w14:paraId="12D6AA7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50,1</w:t>
            </w:r>
          </w:p>
        </w:tc>
        <w:tc>
          <w:tcPr>
            <w:tcW w:w="960" w:type="dxa"/>
            <w:tcBorders>
              <w:top w:val="nil"/>
              <w:left w:val="nil"/>
              <w:bottom w:val="single" w:sz="4" w:space="0" w:color="auto"/>
              <w:right w:val="single" w:sz="4" w:space="0" w:color="auto"/>
            </w:tcBorders>
            <w:shd w:val="clear" w:color="auto" w:fill="auto"/>
            <w:noWrap/>
            <w:vAlign w:val="bottom"/>
            <w:hideMark/>
          </w:tcPr>
          <w:p w14:paraId="50572F29"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14,5</w:t>
            </w:r>
          </w:p>
        </w:tc>
        <w:tc>
          <w:tcPr>
            <w:tcW w:w="1060" w:type="dxa"/>
            <w:tcBorders>
              <w:top w:val="nil"/>
              <w:left w:val="nil"/>
              <w:bottom w:val="single" w:sz="4" w:space="0" w:color="auto"/>
              <w:right w:val="single" w:sz="4" w:space="0" w:color="auto"/>
            </w:tcBorders>
            <w:shd w:val="clear" w:color="auto" w:fill="auto"/>
            <w:noWrap/>
            <w:vAlign w:val="bottom"/>
            <w:hideMark/>
          </w:tcPr>
          <w:p w14:paraId="3BB9291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38,4</w:t>
            </w:r>
          </w:p>
        </w:tc>
      </w:tr>
      <w:tr w:rsidR="00293A39" w:rsidRPr="00293A39" w14:paraId="51B265D6"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950535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Malta</w:t>
            </w:r>
          </w:p>
        </w:tc>
        <w:tc>
          <w:tcPr>
            <w:tcW w:w="960" w:type="dxa"/>
            <w:tcBorders>
              <w:top w:val="nil"/>
              <w:left w:val="nil"/>
              <w:bottom w:val="single" w:sz="4" w:space="0" w:color="auto"/>
              <w:right w:val="single" w:sz="4" w:space="0" w:color="auto"/>
            </w:tcBorders>
            <w:shd w:val="clear" w:color="auto" w:fill="auto"/>
            <w:noWrap/>
            <w:vAlign w:val="bottom"/>
            <w:hideMark/>
          </w:tcPr>
          <w:p w14:paraId="099B338A"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26,9</w:t>
            </w:r>
          </w:p>
        </w:tc>
        <w:tc>
          <w:tcPr>
            <w:tcW w:w="1200" w:type="dxa"/>
            <w:tcBorders>
              <w:top w:val="nil"/>
              <w:left w:val="nil"/>
              <w:bottom w:val="single" w:sz="4" w:space="0" w:color="auto"/>
              <w:right w:val="single" w:sz="4" w:space="0" w:color="auto"/>
            </w:tcBorders>
            <w:shd w:val="clear" w:color="auto" w:fill="auto"/>
            <w:noWrap/>
            <w:vAlign w:val="bottom"/>
            <w:hideMark/>
          </w:tcPr>
          <w:p w14:paraId="2214E85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43,6</w:t>
            </w:r>
          </w:p>
        </w:tc>
        <w:tc>
          <w:tcPr>
            <w:tcW w:w="960" w:type="dxa"/>
            <w:tcBorders>
              <w:top w:val="nil"/>
              <w:left w:val="nil"/>
              <w:bottom w:val="single" w:sz="4" w:space="0" w:color="auto"/>
              <w:right w:val="single" w:sz="4" w:space="0" w:color="auto"/>
            </w:tcBorders>
            <w:shd w:val="clear" w:color="auto" w:fill="auto"/>
            <w:noWrap/>
            <w:vAlign w:val="bottom"/>
            <w:hideMark/>
          </w:tcPr>
          <w:p w14:paraId="1720FAD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12,5</w:t>
            </w:r>
          </w:p>
        </w:tc>
        <w:tc>
          <w:tcPr>
            <w:tcW w:w="1060" w:type="dxa"/>
            <w:tcBorders>
              <w:top w:val="nil"/>
              <w:left w:val="nil"/>
              <w:bottom w:val="single" w:sz="4" w:space="0" w:color="auto"/>
              <w:right w:val="single" w:sz="4" w:space="0" w:color="auto"/>
            </w:tcBorders>
            <w:shd w:val="clear" w:color="auto" w:fill="auto"/>
            <w:noWrap/>
            <w:vAlign w:val="bottom"/>
            <w:hideMark/>
          </w:tcPr>
          <w:p w14:paraId="6744B3C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22,6</w:t>
            </w:r>
          </w:p>
        </w:tc>
      </w:tr>
      <w:tr w:rsidR="00293A39" w:rsidRPr="00293A39" w14:paraId="5CB556F2"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3F99C95" w14:textId="3846AEF7"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Netherland</w:t>
            </w:r>
          </w:p>
        </w:tc>
        <w:tc>
          <w:tcPr>
            <w:tcW w:w="960" w:type="dxa"/>
            <w:tcBorders>
              <w:top w:val="nil"/>
              <w:left w:val="nil"/>
              <w:bottom w:val="single" w:sz="4" w:space="0" w:color="auto"/>
              <w:right w:val="single" w:sz="4" w:space="0" w:color="auto"/>
            </w:tcBorders>
            <w:shd w:val="clear" w:color="auto" w:fill="auto"/>
            <w:noWrap/>
            <w:vAlign w:val="bottom"/>
            <w:hideMark/>
          </w:tcPr>
          <w:p w14:paraId="59F8D1C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26,9</w:t>
            </w:r>
          </w:p>
        </w:tc>
        <w:tc>
          <w:tcPr>
            <w:tcW w:w="1200" w:type="dxa"/>
            <w:tcBorders>
              <w:top w:val="nil"/>
              <w:left w:val="nil"/>
              <w:bottom w:val="single" w:sz="4" w:space="0" w:color="auto"/>
              <w:right w:val="single" w:sz="4" w:space="0" w:color="auto"/>
            </w:tcBorders>
            <w:shd w:val="clear" w:color="auto" w:fill="auto"/>
            <w:noWrap/>
            <w:vAlign w:val="bottom"/>
            <w:hideMark/>
          </w:tcPr>
          <w:p w14:paraId="39957ED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44,8</w:t>
            </w:r>
          </w:p>
        </w:tc>
        <w:tc>
          <w:tcPr>
            <w:tcW w:w="960" w:type="dxa"/>
            <w:tcBorders>
              <w:top w:val="nil"/>
              <w:left w:val="nil"/>
              <w:bottom w:val="single" w:sz="4" w:space="0" w:color="auto"/>
              <w:right w:val="single" w:sz="4" w:space="0" w:color="auto"/>
            </w:tcBorders>
            <w:shd w:val="clear" w:color="auto" w:fill="auto"/>
            <w:noWrap/>
            <w:vAlign w:val="bottom"/>
            <w:hideMark/>
          </w:tcPr>
          <w:p w14:paraId="3730B283"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10,9</w:t>
            </w:r>
          </w:p>
        </w:tc>
        <w:tc>
          <w:tcPr>
            <w:tcW w:w="1060" w:type="dxa"/>
            <w:tcBorders>
              <w:top w:val="nil"/>
              <w:left w:val="nil"/>
              <w:bottom w:val="single" w:sz="4" w:space="0" w:color="auto"/>
              <w:right w:val="single" w:sz="4" w:space="0" w:color="auto"/>
            </w:tcBorders>
            <w:shd w:val="clear" w:color="auto" w:fill="auto"/>
            <w:noWrap/>
            <w:vAlign w:val="bottom"/>
            <w:hideMark/>
          </w:tcPr>
          <w:p w14:paraId="623D1757"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32,3</w:t>
            </w:r>
          </w:p>
        </w:tc>
      </w:tr>
      <w:tr w:rsidR="00293A39" w:rsidRPr="00293A39" w14:paraId="7CFE33F5"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3D562CC"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Austria</w:t>
            </w:r>
          </w:p>
        </w:tc>
        <w:tc>
          <w:tcPr>
            <w:tcW w:w="960" w:type="dxa"/>
            <w:tcBorders>
              <w:top w:val="nil"/>
              <w:left w:val="nil"/>
              <w:bottom w:val="single" w:sz="4" w:space="0" w:color="auto"/>
              <w:right w:val="single" w:sz="4" w:space="0" w:color="auto"/>
            </w:tcBorders>
            <w:shd w:val="clear" w:color="auto" w:fill="auto"/>
            <w:noWrap/>
            <w:vAlign w:val="bottom"/>
            <w:hideMark/>
          </w:tcPr>
          <w:p w14:paraId="1C3C00A2"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26,2</w:t>
            </w:r>
          </w:p>
        </w:tc>
        <w:tc>
          <w:tcPr>
            <w:tcW w:w="1200" w:type="dxa"/>
            <w:tcBorders>
              <w:top w:val="nil"/>
              <w:left w:val="nil"/>
              <w:bottom w:val="single" w:sz="4" w:space="0" w:color="auto"/>
              <w:right w:val="single" w:sz="4" w:space="0" w:color="auto"/>
            </w:tcBorders>
            <w:shd w:val="clear" w:color="auto" w:fill="auto"/>
            <w:noWrap/>
            <w:vAlign w:val="bottom"/>
            <w:hideMark/>
          </w:tcPr>
          <w:p w14:paraId="44F0F622"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50</w:t>
            </w:r>
          </w:p>
        </w:tc>
        <w:tc>
          <w:tcPr>
            <w:tcW w:w="960" w:type="dxa"/>
            <w:tcBorders>
              <w:top w:val="nil"/>
              <w:left w:val="nil"/>
              <w:bottom w:val="single" w:sz="4" w:space="0" w:color="auto"/>
              <w:right w:val="single" w:sz="4" w:space="0" w:color="auto"/>
            </w:tcBorders>
            <w:shd w:val="clear" w:color="auto" w:fill="auto"/>
            <w:noWrap/>
            <w:vAlign w:val="bottom"/>
            <w:hideMark/>
          </w:tcPr>
          <w:p w14:paraId="6B1F416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18,8</w:t>
            </w:r>
          </w:p>
        </w:tc>
        <w:tc>
          <w:tcPr>
            <w:tcW w:w="1060" w:type="dxa"/>
            <w:tcBorders>
              <w:top w:val="nil"/>
              <w:left w:val="nil"/>
              <w:bottom w:val="single" w:sz="4" w:space="0" w:color="auto"/>
              <w:right w:val="single" w:sz="4" w:space="0" w:color="auto"/>
            </w:tcBorders>
            <w:shd w:val="clear" w:color="auto" w:fill="auto"/>
            <w:noWrap/>
            <w:vAlign w:val="bottom"/>
            <w:hideMark/>
          </w:tcPr>
          <w:p w14:paraId="291DF2F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40,8</w:t>
            </w:r>
          </w:p>
        </w:tc>
      </w:tr>
      <w:tr w:rsidR="00293A39" w:rsidRPr="00293A39" w14:paraId="44067539"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F1C3C7C" w14:textId="6ADD3861"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Poland</w:t>
            </w:r>
          </w:p>
        </w:tc>
        <w:tc>
          <w:tcPr>
            <w:tcW w:w="960" w:type="dxa"/>
            <w:tcBorders>
              <w:top w:val="nil"/>
              <w:left w:val="nil"/>
              <w:bottom w:val="single" w:sz="4" w:space="0" w:color="auto"/>
              <w:right w:val="single" w:sz="4" w:space="0" w:color="auto"/>
            </w:tcBorders>
            <w:shd w:val="clear" w:color="auto" w:fill="auto"/>
            <w:noWrap/>
            <w:vAlign w:val="bottom"/>
            <w:hideMark/>
          </w:tcPr>
          <w:p w14:paraId="39492BE7"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35,6</w:t>
            </w:r>
          </w:p>
        </w:tc>
        <w:tc>
          <w:tcPr>
            <w:tcW w:w="1200" w:type="dxa"/>
            <w:tcBorders>
              <w:top w:val="nil"/>
              <w:left w:val="nil"/>
              <w:bottom w:val="single" w:sz="4" w:space="0" w:color="auto"/>
              <w:right w:val="single" w:sz="4" w:space="0" w:color="auto"/>
            </w:tcBorders>
            <w:shd w:val="clear" w:color="auto" w:fill="auto"/>
            <w:noWrap/>
            <w:vAlign w:val="bottom"/>
            <w:hideMark/>
          </w:tcPr>
          <w:p w14:paraId="47260200"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43,4</w:t>
            </w:r>
          </w:p>
        </w:tc>
        <w:tc>
          <w:tcPr>
            <w:tcW w:w="960" w:type="dxa"/>
            <w:tcBorders>
              <w:top w:val="nil"/>
              <w:left w:val="nil"/>
              <w:bottom w:val="single" w:sz="4" w:space="0" w:color="auto"/>
              <w:right w:val="single" w:sz="4" w:space="0" w:color="auto"/>
            </w:tcBorders>
            <w:shd w:val="clear" w:color="auto" w:fill="auto"/>
            <w:noWrap/>
            <w:vAlign w:val="bottom"/>
            <w:hideMark/>
          </w:tcPr>
          <w:p w14:paraId="1827A5F9"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15,7</w:t>
            </w:r>
          </w:p>
        </w:tc>
        <w:tc>
          <w:tcPr>
            <w:tcW w:w="1060" w:type="dxa"/>
            <w:tcBorders>
              <w:top w:val="nil"/>
              <w:left w:val="nil"/>
              <w:bottom w:val="single" w:sz="4" w:space="0" w:color="auto"/>
              <w:right w:val="single" w:sz="4" w:space="0" w:color="auto"/>
            </w:tcBorders>
            <w:shd w:val="clear" w:color="auto" w:fill="auto"/>
            <w:noWrap/>
            <w:vAlign w:val="bottom"/>
            <w:hideMark/>
          </w:tcPr>
          <w:p w14:paraId="4417117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33,8</w:t>
            </w:r>
          </w:p>
        </w:tc>
      </w:tr>
      <w:tr w:rsidR="00293A39" w:rsidRPr="00293A39" w14:paraId="7A3C61B6"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6CBE7DE" w14:textId="4C0A47D6"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Portugal</w:t>
            </w:r>
          </w:p>
        </w:tc>
        <w:tc>
          <w:tcPr>
            <w:tcW w:w="960" w:type="dxa"/>
            <w:tcBorders>
              <w:top w:val="nil"/>
              <w:left w:val="nil"/>
              <w:bottom w:val="single" w:sz="4" w:space="0" w:color="auto"/>
              <w:right w:val="single" w:sz="4" w:space="0" w:color="auto"/>
            </w:tcBorders>
            <w:shd w:val="clear" w:color="auto" w:fill="auto"/>
            <w:noWrap/>
            <w:vAlign w:val="bottom"/>
            <w:hideMark/>
          </w:tcPr>
          <w:p w14:paraId="178B198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38,1</w:t>
            </w:r>
          </w:p>
        </w:tc>
        <w:tc>
          <w:tcPr>
            <w:tcW w:w="1200" w:type="dxa"/>
            <w:tcBorders>
              <w:top w:val="nil"/>
              <w:left w:val="nil"/>
              <w:bottom w:val="single" w:sz="4" w:space="0" w:color="auto"/>
              <w:right w:val="single" w:sz="4" w:space="0" w:color="auto"/>
            </w:tcBorders>
            <w:shd w:val="clear" w:color="auto" w:fill="auto"/>
            <w:noWrap/>
            <w:vAlign w:val="bottom"/>
            <w:hideMark/>
          </w:tcPr>
          <w:p w14:paraId="4E5EF66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46,6</w:t>
            </w:r>
          </w:p>
        </w:tc>
        <w:tc>
          <w:tcPr>
            <w:tcW w:w="960" w:type="dxa"/>
            <w:tcBorders>
              <w:top w:val="nil"/>
              <w:left w:val="nil"/>
              <w:bottom w:val="single" w:sz="4" w:space="0" w:color="auto"/>
              <w:right w:val="single" w:sz="4" w:space="0" w:color="auto"/>
            </w:tcBorders>
            <w:shd w:val="clear" w:color="auto" w:fill="auto"/>
            <w:noWrap/>
            <w:vAlign w:val="bottom"/>
            <w:hideMark/>
          </w:tcPr>
          <w:p w14:paraId="2C1FCD9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14,4</w:t>
            </w:r>
          </w:p>
        </w:tc>
        <w:tc>
          <w:tcPr>
            <w:tcW w:w="1060" w:type="dxa"/>
            <w:tcBorders>
              <w:top w:val="nil"/>
              <w:left w:val="nil"/>
              <w:bottom w:val="single" w:sz="4" w:space="0" w:color="auto"/>
              <w:right w:val="single" w:sz="4" w:space="0" w:color="auto"/>
            </w:tcBorders>
            <w:shd w:val="clear" w:color="auto" w:fill="auto"/>
            <w:noWrap/>
            <w:vAlign w:val="bottom"/>
            <w:hideMark/>
          </w:tcPr>
          <w:p w14:paraId="5B201E6F"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22,4</w:t>
            </w:r>
          </w:p>
        </w:tc>
      </w:tr>
      <w:tr w:rsidR="00293A39" w:rsidRPr="00293A39" w14:paraId="441C8DA0"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7D77B4" w14:textId="2A4084A4"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Roma</w:t>
            </w:r>
            <w:r w:rsidRPr="00293A39">
              <w:rPr>
                <w:rFonts w:ascii="Times New Roman" w:eastAsia="Times New Roman" w:hAnsi="Times New Roman" w:cs="Times New Roman"/>
                <w:lang w:val="en-US"/>
              </w:rPr>
              <w:t>nia</w:t>
            </w:r>
          </w:p>
        </w:tc>
        <w:tc>
          <w:tcPr>
            <w:tcW w:w="960" w:type="dxa"/>
            <w:tcBorders>
              <w:top w:val="nil"/>
              <w:left w:val="nil"/>
              <w:bottom w:val="single" w:sz="4" w:space="0" w:color="auto"/>
              <w:right w:val="single" w:sz="4" w:space="0" w:color="auto"/>
            </w:tcBorders>
            <w:shd w:val="clear" w:color="auto" w:fill="auto"/>
            <w:noWrap/>
            <w:vAlign w:val="bottom"/>
            <w:hideMark/>
          </w:tcPr>
          <w:p w14:paraId="5D662681"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31</w:t>
            </w:r>
          </w:p>
        </w:tc>
        <w:tc>
          <w:tcPr>
            <w:tcW w:w="1200" w:type="dxa"/>
            <w:tcBorders>
              <w:top w:val="nil"/>
              <w:left w:val="nil"/>
              <w:bottom w:val="single" w:sz="4" w:space="0" w:color="auto"/>
              <w:right w:val="single" w:sz="4" w:space="0" w:color="auto"/>
            </w:tcBorders>
            <w:shd w:val="clear" w:color="auto" w:fill="auto"/>
            <w:noWrap/>
            <w:vAlign w:val="bottom"/>
            <w:hideMark/>
          </w:tcPr>
          <w:p w14:paraId="32E0154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33,6</w:t>
            </w:r>
          </w:p>
        </w:tc>
        <w:tc>
          <w:tcPr>
            <w:tcW w:w="960" w:type="dxa"/>
            <w:tcBorders>
              <w:top w:val="nil"/>
              <w:left w:val="nil"/>
              <w:bottom w:val="single" w:sz="4" w:space="0" w:color="auto"/>
              <w:right w:val="single" w:sz="4" w:space="0" w:color="auto"/>
            </w:tcBorders>
            <w:shd w:val="clear" w:color="auto" w:fill="auto"/>
            <w:noWrap/>
            <w:vAlign w:val="bottom"/>
            <w:hideMark/>
          </w:tcPr>
          <w:p w14:paraId="599D2CA4"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8,9</w:t>
            </w:r>
          </w:p>
        </w:tc>
        <w:tc>
          <w:tcPr>
            <w:tcW w:w="1060" w:type="dxa"/>
            <w:tcBorders>
              <w:top w:val="nil"/>
              <w:left w:val="nil"/>
              <w:bottom w:val="single" w:sz="4" w:space="0" w:color="auto"/>
              <w:right w:val="single" w:sz="4" w:space="0" w:color="auto"/>
            </w:tcBorders>
            <w:shd w:val="clear" w:color="auto" w:fill="auto"/>
            <w:noWrap/>
            <w:vAlign w:val="bottom"/>
            <w:hideMark/>
          </w:tcPr>
          <w:p w14:paraId="7DC6865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28,1</w:t>
            </w:r>
          </w:p>
        </w:tc>
      </w:tr>
      <w:tr w:rsidR="00293A39" w:rsidRPr="00293A39" w14:paraId="6BE19493"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671FAAF" w14:textId="052C160C"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Slov</w:t>
            </w:r>
            <w:r w:rsidRPr="00293A39">
              <w:rPr>
                <w:rFonts w:ascii="Times New Roman" w:eastAsia="Times New Roman" w:hAnsi="Times New Roman" w:cs="Times New Roman"/>
                <w:lang w:val="en-US"/>
              </w:rPr>
              <w:t>enia</w:t>
            </w:r>
          </w:p>
        </w:tc>
        <w:tc>
          <w:tcPr>
            <w:tcW w:w="960" w:type="dxa"/>
            <w:tcBorders>
              <w:top w:val="nil"/>
              <w:left w:val="nil"/>
              <w:bottom w:val="single" w:sz="4" w:space="0" w:color="auto"/>
              <w:right w:val="single" w:sz="4" w:space="0" w:color="auto"/>
            </w:tcBorders>
            <w:shd w:val="clear" w:color="auto" w:fill="auto"/>
            <w:noWrap/>
            <w:vAlign w:val="bottom"/>
            <w:hideMark/>
          </w:tcPr>
          <w:p w14:paraId="2DAAD0F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23,8</w:t>
            </w:r>
          </w:p>
        </w:tc>
        <w:tc>
          <w:tcPr>
            <w:tcW w:w="1200" w:type="dxa"/>
            <w:tcBorders>
              <w:top w:val="nil"/>
              <w:left w:val="nil"/>
              <w:bottom w:val="single" w:sz="4" w:space="0" w:color="auto"/>
              <w:right w:val="single" w:sz="4" w:space="0" w:color="auto"/>
            </w:tcBorders>
            <w:shd w:val="clear" w:color="auto" w:fill="auto"/>
            <w:noWrap/>
            <w:vAlign w:val="bottom"/>
            <w:hideMark/>
          </w:tcPr>
          <w:p w14:paraId="0D1F287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45,3</w:t>
            </w:r>
          </w:p>
        </w:tc>
        <w:tc>
          <w:tcPr>
            <w:tcW w:w="960" w:type="dxa"/>
            <w:tcBorders>
              <w:top w:val="nil"/>
              <w:left w:val="nil"/>
              <w:bottom w:val="single" w:sz="4" w:space="0" w:color="auto"/>
              <w:right w:val="single" w:sz="4" w:space="0" w:color="auto"/>
            </w:tcBorders>
            <w:shd w:val="clear" w:color="auto" w:fill="auto"/>
            <w:noWrap/>
            <w:vAlign w:val="bottom"/>
            <w:hideMark/>
          </w:tcPr>
          <w:p w14:paraId="7F6102F2"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15,7</w:t>
            </w:r>
          </w:p>
        </w:tc>
        <w:tc>
          <w:tcPr>
            <w:tcW w:w="1060" w:type="dxa"/>
            <w:tcBorders>
              <w:top w:val="nil"/>
              <w:left w:val="nil"/>
              <w:bottom w:val="single" w:sz="4" w:space="0" w:color="auto"/>
              <w:right w:val="single" w:sz="4" w:space="0" w:color="auto"/>
            </w:tcBorders>
            <w:shd w:val="clear" w:color="auto" w:fill="auto"/>
            <w:noWrap/>
            <w:vAlign w:val="bottom"/>
            <w:hideMark/>
          </w:tcPr>
          <w:p w14:paraId="47BAFF51"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37,6</w:t>
            </w:r>
          </w:p>
        </w:tc>
      </w:tr>
      <w:tr w:rsidR="00293A39" w:rsidRPr="00293A39" w14:paraId="07066567"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80DB68D" w14:textId="0B018877"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Slovak Rep.</w:t>
            </w:r>
          </w:p>
        </w:tc>
        <w:tc>
          <w:tcPr>
            <w:tcW w:w="960" w:type="dxa"/>
            <w:tcBorders>
              <w:top w:val="nil"/>
              <w:left w:val="nil"/>
              <w:bottom w:val="single" w:sz="4" w:space="0" w:color="auto"/>
              <w:right w:val="single" w:sz="4" w:space="0" w:color="auto"/>
            </w:tcBorders>
            <w:shd w:val="clear" w:color="auto" w:fill="auto"/>
            <w:noWrap/>
            <w:vAlign w:val="bottom"/>
            <w:hideMark/>
          </w:tcPr>
          <w:p w14:paraId="51210F7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26,2</w:t>
            </w:r>
          </w:p>
        </w:tc>
        <w:tc>
          <w:tcPr>
            <w:tcW w:w="1200" w:type="dxa"/>
            <w:tcBorders>
              <w:top w:val="nil"/>
              <w:left w:val="nil"/>
              <w:bottom w:val="single" w:sz="4" w:space="0" w:color="auto"/>
              <w:right w:val="single" w:sz="4" w:space="0" w:color="auto"/>
            </w:tcBorders>
            <w:shd w:val="clear" w:color="auto" w:fill="auto"/>
            <w:noWrap/>
            <w:vAlign w:val="bottom"/>
            <w:hideMark/>
          </w:tcPr>
          <w:p w14:paraId="7C5B5D09"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38</w:t>
            </w:r>
          </w:p>
        </w:tc>
        <w:tc>
          <w:tcPr>
            <w:tcW w:w="960" w:type="dxa"/>
            <w:tcBorders>
              <w:top w:val="nil"/>
              <w:left w:val="nil"/>
              <w:bottom w:val="single" w:sz="4" w:space="0" w:color="auto"/>
              <w:right w:val="single" w:sz="4" w:space="0" w:color="auto"/>
            </w:tcBorders>
            <w:shd w:val="clear" w:color="auto" w:fill="auto"/>
            <w:noWrap/>
            <w:vAlign w:val="bottom"/>
            <w:hideMark/>
          </w:tcPr>
          <w:p w14:paraId="580D186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12,4</w:t>
            </w:r>
          </w:p>
        </w:tc>
        <w:tc>
          <w:tcPr>
            <w:tcW w:w="1060" w:type="dxa"/>
            <w:tcBorders>
              <w:top w:val="nil"/>
              <w:left w:val="nil"/>
              <w:bottom w:val="single" w:sz="4" w:space="0" w:color="auto"/>
              <w:right w:val="single" w:sz="4" w:space="0" w:color="auto"/>
            </w:tcBorders>
            <w:shd w:val="clear" w:color="auto" w:fill="auto"/>
            <w:noWrap/>
            <w:vAlign w:val="bottom"/>
            <w:hideMark/>
          </w:tcPr>
          <w:p w14:paraId="096F1F0A"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32,9</w:t>
            </w:r>
          </w:p>
        </w:tc>
      </w:tr>
      <w:tr w:rsidR="00293A39" w:rsidRPr="00293A39" w14:paraId="10E3EE8A"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B6CDEB0" w14:textId="1AB68148"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Finland</w:t>
            </w:r>
          </w:p>
        </w:tc>
        <w:tc>
          <w:tcPr>
            <w:tcW w:w="960" w:type="dxa"/>
            <w:tcBorders>
              <w:top w:val="nil"/>
              <w:left w:val="nil"/>
              <w:bottom w:val="single" w:sz="4" w:space="0" w:color="auto"/>
              <w:right w:val="single" w:sz="4" w:space="0" w:color="auto"/>
            </w:tcBorders>
            <w:shd w:val="clear" w:color="auto" w:fill="auto"/>
            <w:noWrap/>
            <w:vAlign w:val="bottom"/>
            <w:hideMark/>
          </w:tcPr>
          <w:p w14:paraId="3AA7B73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w:t>
            </w:r>
          </w:p>
        </w:tc>
        <w:tc>
          <w:tcPr>
            <w:tcW w:w="1200" w:type="dxa"/>
            <w:tcBorders>
              <w:top w:val="nil"/>
              <w:left w:val="nil"/>
              <w:bottom w:val="single" w:sz="4" w:space="0" w:color="auto"/>
              <w:right w:val="single" w:sz="4" w:space="0" w:color="auto"/>
            </w:tcBorders>
            <w:shd w:val="clear" w:color="auto" w:fill="auto"/>
            <w:noWrap/>
            <w:vAlign w:val="bottom"/>
            <w:hideMark/>
          </w:tcPr>
          <w:p w14:paraId="4F2D8CEE"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50,3</w:t>
            </w:r>
          </w:p>
        </w:tc>
        <w:tc>
          <w:tcPr>
            <w:tcW w:w="960" w:type="dxa"/>
            <w:tcBorders>
              <w:top w:val="nil"/>
              <w:left w:val="nil"/>
              <w:bottom w:val="single" w:sz="4" w:space="0" w:color="auto"/>
              <w:right w:val="single" w:sz="4" w:space="0" w:color="auto"/>
            </w:tcBorders>
            <w:shd w:val="clear" w:color="auto" w:fill="auto"/>
            <w:noWrap/>
            <w:vAlign w:val="bottom"/>
            <w:hideMark/>
          </w:tcPr>
          <w:p w14:paraId="21846446"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16,5</w:t>
            </w:r>
          </w:p>
        </w:tc>
        <w:tc>
          <w:tcPr>
            <w:tcW w:w="1060" w:type="dxa"/>
            <w:tcBorders>
              <w:top w:val="nil"/>
              <w:left w:val="nil"/>
              <w:bottom w:val="single" w:sz="4" w:space="0" w:color="auto"/>
              <w:right w:val="single" w:sz="4" w:space="0" w:color="auto"/>
            </w:tcBorders>
            <w:shd w:val="clear" w:color="auto" w:fill="auto"/>
            <w:noWrap/>
            <w:vAlign w:val="bottom"/>
            <w:hideMark/>
          </w:tcPr>
          <w:p w14:paraId="6F0794CA"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41,6</w:t>
            </w:r>
          </w:p>
        </w:tc>
      </w:tr>
      <w:tr w:rsidR="00293A39" w:rsidRPr="00293A39" w14:paraId="1D5965F3"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1342E001" w14:textId="7A8B5D29"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Sweden</w:t>
            </w:r>
          </w:p>
        </w:tc>
        <w:tc>
          <w:tcPr>
            <w:tcW w:w="960" w:type="dxa"/>
            <w:tcBorders>
              <w:top w:val="nil"/>
              <w:left w:val="nil"/>
              <w:bottom w:val="single" w:sz="4" w:space="0" w:color="auto"/>
              <w:right w:val="single" w:sz="4" w:space="0" w:color="auto"/>
            </w:tcBorders>
            <w:shd w:val="clear" w:color="auto" w:fill="auto"/>
            <w:noWrap/>
            <w:vAlign w:val="bottom"/>
            <w:hideMark/>
          </w:tcPr>
          <w:p w14:paraId="07983EDD"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23,4</w:t>
            </w:r>
          </w:p>
        </w:tc>
        <w:tc>
          <w:tcPr>
            <w:tcW w:w="1200" w:type="dxa"/>
            <w:tcBorders>
              <w:top w:val="nil"/>
              <w:left w:val="nil"/>
              <w:bottom w:val="single" w:sz="4" w:space="0" w:color="auto"/>
              <w:right w:val="single" w:sz="4" w:space="0" w:color="auto"/>
            </w:tcBorders>
            <w:shd w:val="clear" w:color="auto" w:fill="auto"/>
            <w:noWrap/>
            <w:vAlign w:val="bottom"/>
            <w:hideMark/>
          </w:tcPr>
          <w:p w14:paraId="76B0561C"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53,9</w:t>
            </w:r>
          </w:p>
        </w:tc>
        <w:tc>
          <w:tcPr>
            <w:tcW w:w="960" w:type="dxa"/>
            <w:tcBorders>
              <w:top w:val="nil"/>
              <w:left w:val="nil"/>
              <w:bottom w:val="single" w:sz="4" w:space="0" w:color="auto"/>
              <w:right w:val="single" w:sz="4" w:space="0" w:color="auto"/>
            </w:tcBorders>
            <w:shd w:val="clear" w:color="auto" w:fill="auto"/>
            <w:noWrap/>
            <w:vAlign w:val="bottom"/>
            <w:hideMark/>
          </w:tcPr>
          <w:p w14:paraId="65E4685B"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15,7</w:t>
            </w:r>
          </w:p>
        </w:tc>
        <w:tc>
          <w:tcPr>
            <w:tcW w:w="1060" w:type="dxa"/>
            <w:tcBorders>
              <w:top w:val="nil"/>
              <w:left w:val="nil"/>
              <w:bottom w:val="single" w:sz="4" w:space="0" w:color="auto"/>
              <w:right w:val="single" w:sz="4" w:space="0" w:color="auto"/>
            </w:tcBorders>
            <w:shd w:val="clear" w:color="auto" w:fill="auto"/>
            <w:noWrap/>
            <w:vAlign w:val="bottom"/>
            <w:hideMark/>
          </w:tcPr>
          <w:p w14:paraId="06845263"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43,6</w:t>
            </w:r>
          </w:p>
        </w:tc>
      </w:tr>
      <w:tr w:rsidR="00293A39" w:rsidRPr="00293A39" w14:paraId="4418242C" w14:textId="77777777" w:rsidTr="000D2136">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9A8E7C8" w14:textId="45EA0794" w:rsidR="00293A39" w:rsidRPr="00293A39" w:rsidRDefault="00293A39" w:rsidP="00293A39">
            <w:pPr>
              <w:spacing w:after="0" w:line="36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UK</w:t>
            </w:r>
          </w:p>
        </w:tc>
        <w:tc>
          <w:tcPr>
            <w:tcW w:w="960" w:type="dxa"/>
            <w:tcBorders>
              <w:top w:val="nil"/>
              <w:left w:val="nil"/>
              <w:bottom w:val="single" w:sz="4" w:space="0" w:color="auto"/>
              <w:right w:val="single" w:sz="4" w:space="0" w:color="auto"/>
            </w:tcBorders>
            <w:shd w:val="clear" w:color="auto" w:fill="auto"/>
            <w:noWrap/>
            <w:vAlign w:val="bottom"/>
            <w:hideMark/>
          </w:tcPr>
          <w:p w14:paraId="2FD0A897"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34,6</w:t>
            </w:r>
          </w:p>
        </w:tc>
        <w:tc>
          <w:tcPr>
            <w:tcW w:w="1200" w:type="dxa"/>
            <w:tcBorders>
              <w:top w:val="nil"/>
              <w:left w:val="nil"/>
              <w:bottom w:val="single" w:sz="4" w:space="0" w:color="auto"/>
              <w:right w:val="single" w:sz="4" w:space="0" w:color="auto"/>
            </w:tcBorders>
            <w:shd w:val="clear" w:color="auto" w:fill="auto"/>
            <w:noWrap/>
            <w:vAlign w:val="bottom"/>
            <w:hideMark/>
          </w:tcPr>
          <w:p w14:paraId="72E086E3"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43,8</w:t>
            </w:r>
          </w:p>
        </w:tc>
        <w:tc>
          <w:tcPr>
            <w:tcW w:w="960" w:type="dxa"/>
            <w:tcBorders>
              <w:top w:val="nil"/>
              <w:left w:val="nil"/>
              <w:bottom w:val="single" w:sz="4" w:space="0" w:color="auto"/>
              <w:right w:val="single" w:sz="4" w:space="0" w:color="auto"/>
            </w:tcBorders>
            <w:shd w:val="clear" w:color="auto" w:fill="auto"/>
            <w:noWrap/>
            <w:vAlign w:val="bottom"/>
            <w:hideMark/>
          </w:tcPr>
          <w:p w14:paraId="2AA3B11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12,8</w:t>
            </w:r>
          </w:p>
        </w:tc>
        <w:tc>
          <w:tcPr>
            <w:tcW w:w="1060" w:type="dxa"/>
            <w:tcBorders>
              <w:top w:val="nil"/>
              <w:left w:val="nil"/>
              <w:bottom w:val="single" w:sz="4" w:space="0" w:color="auto"/>
              <w:right w:val="single" w:sz="4" w:space="0" w:color="auto"/>
            </w:tcBorders>
            <w:shd w:val="clear" w:color="auto" w:fill="auto"/>
            <w:noWrap/>
            <w:vAlign w:val="bottom"/>
            <w:hideMark/>
          </w:tcPr>
          <w:p w14:paraId="64CDBEA8" w14:textId="77777777" w:rsidR="00293A39" w:rsidRPr="00293A39" w:rsidRDefault="00293A39" w:rsidP="00293A39">
            <w:pPr>
              <w:spacing w:after="0" w:line="360" w:lineRule="auto"/>
              <w:jc w:val="both"/>
              <w:rPr>
                <w:rFonts w:ascii="Times New Roman" w:eastAsia="Times New Roman" w:hAnsi="Times New Roman" w:cs="Times New Roman"/>
                <w:lang w:val="en-US"/>
              </w:rPr>
            </w:pPr>
            <w:r w:rsidRPr="00293A39">
              <w:rPr>
                <w:rFonts w:ascii="Times New Roman" w:eastAsia="Times New Roman" w:hAnsi="Times New Roman" w:cs="Times New Roman"/>
                <w:lang w:val="en-US"/>
              </w:rPr>
              <w:t>26,2</w:t>
            </w:r>
          </w:p>
        </w:tc>
      </w:tr>
    </w:tbl>
    <w:p w14:paraId="1245F714" w14:textId="7C72B625" w:rsidR="00293A39" w:rsidRDefault="00293A39" w:rsidP="00AB05A6">
      <w:pPr>
        <w:spacing w:after="0" w:line="360" w:lineRule="auto"/>
        <w:jc w:val="both"/>
        <w:rPr>
          <w:rFonts w:ascii="Times New Roman" w:eastAsia="Times New Roman" w:hAnsi="Times New Roman" w:cs="Times New Roman"/>
          <w:b/>
          <w:sz w:val="24"/>
          <w:szCs w:val="24"/>
        </w:rPr>
      </w:pPr>
    </w:p>
    <w:p w14:paraId="18972468" w14:textId="1EAC2121" w:rsidR="00916C90" w:rsidRDefault="00916C90" w:rsidP="00AB05A6">
      <w:pPr>
        <w:spacing w:after="0" w:line="360" w:lineRule="auto"/>
        <w:jc w:val="both"/>
        <w:rPr>
          <w:rFonts w:ascii="Times New Roman" w:hAnsi="Times New Roman"/>
          <w:sz w:val="24"/>
          <w:szCs w:val="24"/>
        </w:rPr>
      </w:pPr>
      <w:r w:rsidRPr="00AB56A1">
        <w:rPr>
          <w:rFonts w:ascii="Times New Roman" w:hAnsi="Times New Roman"/>
          <w:sz w:val="24"/>
          <w:szCs w:val="24"/>
        </w:rPr>
        <w:t>Source: Own calculations based on Eurostat data</w:t>
      </w:r>
    </w:p>
    <w:p w14:paraId="4C7FAADB" w14:textId="77777777" w:rsidR="008A0894" w:rsidRPr="00AB56A1" w:rsidRDefault="008A0894" w:rsidP="00AB05A6">
      <w:pPr>
        <w:spacing w:after="0" w:line="360" w:lineRule="auto"/>
        <w:jc w:val="both"/>
        <w:rPr>
          <w:rFonts w:ascii="Times New Roman" w:eastAsia="Times New Roman" w:hAnsi="Times New Roman" w:cs="Times New Roman"/>
          <w:sz w:val="24"/>
          <w:szCs w:val="24"/>
        </w:rPr>
      </w:pPr>
    </w:p>
    <w:p w14:paraId="795C59BB" w14:textId="4D760613"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 xml:space="preserve">Among the EU countries, relatively large differences both in relation to the state's participation in the economy (general level of public expenditures) and </w:t>
      </w:r>
      <w:r w:rsidR="00542D35">
        <w:rPr>
          <w:rFonts w:ascii="Times New Roman" w:hAnsi="Times New Roman"/>
          <w:sz w:val="24"/>
          <w:szCs w:val="24"/>
        </w:rPr>
        <w:t xml:space="preserve">the </w:t>
      </w:r>
      <w:r w:rsidRPr="00AB56A1">
        <w:rPr>
          <w:rFonts w:ascii="Times New Roman" w:hAnsi="Times New Roman"/>
          <w:sz w:val="24"/>
          <w:szCs w:val="24"/>
        </w:rPr>
        <w:t xml:space="preserve">social policy model that can be assessed with the level of social expenditures and labour taxes. The income disparities scale varies in particular countries. </w:t>
      </w:r>
      <w:r w:rsidR="00542D35">
        <w:rPr>
          <w:rFonts w:ascii="Times New Roman" w:hAnsi="Times New Roman"/>
          <w:sz w:val="24"/>
          <w:szCs w:val="24"/>
        </w:rPr>
        <w:t>A m</w:t>
      </w:r>
      <w:r w:rsidR="00542D35" w:rsidRPr="00AB56A1">
        <w:rPr>
          <w:rFonts w:ascii="Times New Roman" w:hAnsi="Times New Roman"/>
          <w:sz w:val="24"/>
          <w:szCs w:val="24"/>
        </w:rPr>
        <w:t xml:space="preserve">uch </w:t>
      </w:r>
      <w:r w:rsidRPr="00AB56A1">
        <w:rPr>
          <w:rFonts w:ascii="Times New Roman" w:hAnsi="Times New Roman"/>
          <w:sz w:val="24"/>
          <w:szCs w:val="24"/>
        </w:rPr>
        <w:t xml:space="preserve">more active social policy, carried out both by way of public transfers and taxes, results in lower inequalities in Scandinavian countries than in Anglo-Saxon Ireland or Great Britain. There </w:t>
      </w:r>
      <w:r w:rsidR="00542D35">
        <w:rPr>
          <w:rFonts w:ascii="Times New Roman" w:hAnsi="Times New Roman"/>
          <w:sz w:val="24"/>
          <w:szCs w:val="24"/>
        </w:rPr>
        <w:t>is no evidence</w:t>
      </w:r>
      <w:r w:rsidRPr="00AB56A1">
        <w:rPr>
          <w:rFonts w:ascii="Times New Roman" w:hAnsi="Times New Roman"/>
          <w:sz w:val="24"/>
          <w:szCs w:val="24"/>
        </w:rPr>
        <w:t xml:space="preserve"> that new EU members constitute a group of economies with </w:t>
      </w:r>
      <w:r w:rsidR="00542D35">
        <w:rPr>
          <w:rFonts w:ascii="Times New Roman" w:hAnsi="Times New Roman"/>
          <w:sz w:val="24"/>
          <w:szCs w:val="24"/>
        </w:rPr>
        <w:t xml:space="preserve">a </w:t>
      </w:r>
      <w:r w:rsidRPr="00AB56A1">
        <w:rPr>
          <w:rFonts w:ascii="Times New Roman" w:hAnsi="Times New Roman"/>
          <w:sz w:val="24"/>
          <w:szCs w:val="24"/>
        </w:rPr>
        <w:t xml:space="preserve">key characteristic for the income structure. Differences in social parameters between </w:t>
      </w:r>
      <w:r w:rsidR="00542D35">
        <w:rPr>
          <w:rFonts w:ascii="Times New Roman" w:hAnsi="Times New Roman"/>
          <w:sz w:val="24"/>
          <w:szCs w:val="24"/>
        </w:rPr>
        <w:t xml:space="preserve">a </w:t>
      </w:r>
      <w:r w:rsidRPr="00AB56A1">
        <w:rPr>
          <w:rFonts w:ascii="Times New Roman" w:hAnsi="Times New Roman"/>
          <w:sz w:val="24"/>
          <w:szCs w:val="24"/>
        </w:rPr>
        <w:t>so-called ‘old’ and ‘new’ EU results basically from the income level understood</w:t>
      </w:r>
      <w:r w:rsidR="00D34A74">
        <w:rPr>
          <w:rFonts w:ascii="Times New Roman" w:hAnsi="Times New Roman"/>
          <w:sz w:val="24"/>
          <w:szCs w:val="24"/>
        </w:rPr>
        <w:t xml:space="preserve"> as GDP </w:t>
      </w:r>
      <w:proofErr w:type="spellStart"/>
      <w:r w:rsidR="00D34A74">
        <w:rPr>
          <w:rFonts w:ascii="Times New Roman" w:hAnsi="Times New Roman"/>
          <w:sz w:val="24"/>
          <w:szCs w:val="24"/>
        </w:rPr>
        <w:t>pc.imf</w:t>
      </w:r>
      <w:proofErr w:type="spellEnd"/>
      <w:r w:rsidR="00D34A74">
        <w:rPr>
          <w:rFonts w:ascii="Times New Roman" w:hAnsi="Times New Roman"/>
          <w:sz w:val="24"/>
          <w:szCs w:val="24"/>
        </w:rPr>
        <w:t xml:space="preserve"> 2016</w:t>
      </w:r>
    </w:p>
    <w:p w14:paraId="66EB64BA" w14:textId="7CA0A100"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The accession to the EU itself cannot translate into a specific income structure in the economy because</w:t>
      </w:r>
      <w:r w:rsidR="00542D35">
        <w:rPr>
          <w:rFonts w:ascii="Times New Roman" w:hAnsi="Times New Roman"/>
          <w:sz w:val="24"/>
          <w:szCs w:val="24"/>
        </w:rPr>
        <w:t>,</w:t>
      </w:r>
      <w:r w:rsidRPr="00AB56A1">
        <w:rPr>
          <w:rFonts w:ascii="Times New Roman" w:hAnsi="Times New Roman"/>
          <w:sz w:val="24"/>
          <w:szCs w:val="24"/>
        </w:rPr>
        <w:t xml:space="preserve"> among the EU regulations, there are examples of laws that would impose on EU</w:t>
      </w:r>
      <w:r w:rsidR="00542D35">
        <w:rPr>
          <w:rFonts w:ascii="Times New Roman" w:hAnsi="Times New Roman"/>
          <w:sz w:val="24"/>
          <w:szCs w:val="24"/>
        </w:rPr>
        <w:t xml:space="preserve"> </w:t>
      </w:r>
      <w:r w:rsidRPr="00AB56A1">
        <w:rPr>
          <w:rFonts w:ascii="Times New Roman" w:hAnsi="Times New Roman"/>
          <w:sz w:val="24"/>
          <w:szCs w:val="24"/>
        </w:rPr>
        <w:t>members such issues as:</w:t>
      </w:r>
    </w:p>
    <w:p w14:paraId="6F840EE8" w14:textId="77777777" w:rsidR="00916C90" w:rsidRPr="00AB56A1" w:rsidRDefault="00916C90" w:rsidP="00AB05A6">
      <w:pPr>
        <w:pStyle w:val="Akapitzlist"/>
        <w:numPr>
          <w:ilvl w:val="0"/>
          <w:numId w:val="14"/>
        </w:numPr>
        <w:spacing w:after="0" w:line="360" w:lineRule="auto"/>
        <w:ind w:left="426"/>
        <w:jc w:val="both"/>
        <w:rPr>
          <w:rFonts w:ascii="Times New Roman" w:eastAsia="Times New Roman" w:hAnsi="Times New Roman" w:cs="Times New Roman"/>
          <w:sz w:val="24"/>
          <w:szCs w:val="24"/>
        </w:rPr>
      </w:pPr>
      <w:r w:rsidRPr="00AB56A1">
        <w:rPr>
          <w:rFonts w:ascii="Times New Roman" w:hAnsi="Times New Roman"/>
          <w:sz w:val="24"/>
          <w:szCs w:val="24"/>
        </w:rPr>
        <w:t>desired scale of income inequalities,</w:t>
      </w:r>
    </w:p>
    <w:p w14:paraId="383CC43B" w14:textId="77777777" w:rsidR="00916C90" w:rsidRPr="00AB56A1" w:rsidRDefault="00916C90" w:rsidP="00AB05A6">
      <w:pPr>
        <w:pStyle w:val="Akapitzlist"/>
        <w:numPr>
          <w:ilvl w:val="0"/>
          <w:numId w:val="14"/>
        </w:numPr>
        <w:spacing w:after="0" w:line="360" w:lineRule="auto"/>
        <w:ind w:left="426"/>
        <w:jc w:val="both"/>
        <w:rPr>
          <w:rFonts w:ascii="Times New Roman" w:eastAsia="Times New Roman" w:hAnsi="Times New Roman" w:cs="Times New Roman"/>
          <w:sz w:val="24"/>
          <w:szCs w:val="24"/>
        </w:rPr>
      </w:pPr>
      <w:r w:rsidRPr="00AB56A1">
        <w:rPr>
          <w:rFonts w:ascii="Times New Roman" w:hAnsi="Times New Roman"/>
          <w:sz w:val="24"/>
          <w:szCs w:val="24"/>
        </w:rPr>
        <w:t>desired level and structure of social transfers,</w:t>
      </w:r>
    </w:p>
    <w:p w14:paraId="0E40DF48" w14:textId="394D7051" w:rsidR="00916C90" w:rsidRPr="00AB56A1" w:rsidRDefault="00916C90" w:rsidP="00AB05A6">
      <w:pPr>
        <w:pStyle w:val="Akapitzlist"/>
        <w:numPr>
          <w:ilvl w:val="0"/>
          <w:numId w:val="14"/>
        </w:numPr>
        <w:spacing w:after="0" w:line="360" w:lineRule="auto"/>
        <w:ind w:left="426"/>
        <w:jc w:val="both"/>
        <w:rPr>
          <w:rFonts w:ascii="Times New Roman" w:eastAsia="Times New Roman" w:hAnsi="Times New Roman" w:cs="Times New Roman"/>
          <w:sz w:val="24"/>
          <w:szCs w:val="24"/>
        </w:rPr>
      </w:pPr>
      <w:r w:rsidRPr="00AB56A1">
        <w:rPr>
          <w:rFonts w:ascii="Times New Roman" w:hAnsi="Times New Roman"/>
          <w:sz w:val="24"/>
          <w:szCs w:val="24"/>
        </w:rPr>
        <w:t>desired fiscal policy</w:t>
      </w:r>
      <w:r w:rsidRPr="00AB56A1">
        <w:rPr>
          <w:rFonts w:eastAsia="Times New Roman" w:cs="Times New Roman"/>
          <w:vertAlign w:val="superscript"/>
        </w:rPr>
        <w:footnoteReference w:id="5"/>
      </w:r>
      <w:r w:rsidRPr="00AB56A1">
        <w:rPr>
          <w:rFonts w:ascii="Times New Roman" w:hAnsi="Times New Roman"/>
          <w:sz w:val="24"/>
          <w:szCs w:val="24"/>
        </w:rPr>
        <w:t>.</w:t>
      </w:r>
    </w:p>
    <w:p w14:paraId="69C28A72" w14:textId="77777777"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EU regulations concern </w:t>
      </w:r>
      <w:r w:rsidR="00542D35">
        <w:rPr>
          <w:rFonts w:ascii="Times New Roman" w:hAnsi="Times New Roman"/>
          <w:sz w:val="24"/>
          <w:szCs w:val="24"/>
        </w:rPr>
        <w:t xml:space="preserve">the </w:t>
      </w:r>
      <w:r w:rsidRPr="00AB56A1">
        <w:rPr>
          <w:rFonts w:ascii="Times New Roman" w:hAnsi="Times New Roman"/>
          <w:sz w:val="24"/>
          <w:szCs w:val="24"/>
        </w:rPr>
        <w:t>general rules for conducting economic policy by indicating, for example in the Stability and Growth Pact, macroeconomic parameters, such as the level of government debt, public deficit and inflation rate, but specific countries have enjoy</w:t>
      </w:r>
      <w:r w:rsidR="00542D35">
        <w:rPr>
          <w:rFonts w:ascii="Times New Roman" w:hAnsi="Times New Roman"/>
          <w:sz w:val="24"/>
          <w:szCs w:val="24"/>
        </w:rPr>
        <w:t>ed</w:t>
      </w:r>
      <w:r w:rsidRPr="00AB56A1">
        <w:rPr>
          <w:rFonts w:ascii="Times New Roman" w:hAnsi="Times New Roman"/>
          <w:sz w:val="24"/>
          <w:szCs w:val="24"/>
        </w:rPr>
        <w:t xml:space="preserve"> broad freedom to apply specific economic policy tools.</w:t>
      </w:r>
    </w:p>
    <w:p w14:paraId="67462794" w14:textId="77777777"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An analysis of </w:t>
      </w:r>
      <w:r w:rsidR="00542D35">
        <w:rPr>
          <w:rFonts w:ascii="Times New Roman" w:hAnsi="Times New Roman"/>
          <w:sz w:val="24"/>
          <w:szCs w:val="24"/>
        </w:rPr>
        <w:t xml:space="preserve">the </w:t>
      </w:r>
      <w:r w:rsidRPr="00AB56A1">
        <w:rPr>
          <w:rFonts w:ascii="Times New Roman" w:hAnsi="Times New Roman"/>
          <w:sz w:val="24"/>
          <w:szCs w:val="24"/>
        </w:rPr>
        <w:t>impact of accession on the income dynamics and structure in new EU countries should be carried out at several levels.</w:t>
      </w:r>
    </w:p>
    <w:p w14:paraId="096955C0" w14:textId="575DD4C8"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First of all, a crucial question is to what extent the progressing European integration will encourage </w:t>
      </w:r>
      <w:r w:rsidR="00542D35">
        <w:rPr>
          <w:rFonts w:ascii="Times New Roman" w:hAnsi="Times New Roman"/>
          <w:sz w:val="24"/>
          <w:szCs w:val="24"/>
        </w:rPr>
        <w:t xml:space="preserve">the </w:t>
      </w:r>
      <w:r w:rsidRPr="00AB56A1">
        <w:rPr>
          <w:rFonts w:ascii="Times New Roman" w:hAnsi="Times New Roman"/>
          <w:sz w:val="24"/>
          <w:szCs w:val="24"/>
        </w:rPr>
        <w:t xml:space="preserve">equalisation of </w:t>
      </w:r>
      <w:r w:rsidR="00542D35">
        <w:rPr>
          <w:rFonts w:ascii="Times New Roman" w:hAnsi="Times New Roman"/>
          <w:sz w:val="24"/>
          <w:szCs w:val="24"/>
        </w:rPr>
        <w:t xml:space="preserve">the </w:t>
      </w:r>
      <w:r w:rsidRPr="00AB56A1">
        <w:rPr>
          <w:rFonts w:ascii="Times New Roman" w:hAnsi="Times New Roman"/>
          <w:sz w:val="24"/>
          <w:szCs w:val="24"/>
        </w:rPr>
        <w:t xml:space="preserve">average income level between the so-called ‘old’ and ‘new’ EU. In the light of significantly lower incomes in the majority of post-social countries that became EU members on </w:t>
      </w:r>
      <w:r w:rsidR="00542D35">
        <w:rPr>
          <w:rFonts w:ascii="Times New Roman" w:hAnsi="Times New Roman"/>
          <w:sz w:val="24"/>
          <w:szCs w:val="24"/>
        </w:rPr>
        <w:t>1</w:t>
      </w:r>
      <w:r w:rsidR="00542D35" w:rsidRPr="00AB56A1">
        <w:rPr>
          <w:rFonts w:ascii="Times New Roman" w:hAnsi="Times New Roman"/>
          <w:sz w:val="24"/>
          <w:szCs w:val="24"/>
        </w:rPr>
        <w:t xml:space="preserve"> </w:t>
      </w:r>
      <w:r w:rsidRPr="00AB56A1">
        <w:rPr>
          <w:rFonts w:ascii="Times New Roman" w:hAnsi="Times New Roman"/>
          <w:sz w:val="24"/>
          <w:szCs w:val="24"/>
        </w:rPr>
        <w:t xml:space="preserve">May 2004, it all comes down to finding an answer to a question if the membership in an organisation such as </w:t>
      </w:r>
      <w:r w:rsidR="00542D35">
        <w:rPr>
          <w:rFonts w:ascii="Times New Roman" w:hAnsi="Times New Roman"/>
          <w:sz w:val="24"/>
          <w:szCs w:val="24"/>
        </w:rPr>
        <w:t xml:space="preserve">the </w:t>
      </w:r>
      <w:r w:rsidRPr="00AB56A1">
        <w:rPr>
          <w:rFonts w:ascii="Times New Roman" w:hAnsi="Times New Roman"/>
          <w:sz w:val="24"/>
          <w:szCs w:val="24"/>
        </w:rPr>
        <w:t xml:space="preserve">EU will favour significantly higher income dynamics in relatively poorer countries which may lead to </w:t>
      </w:r>
      <w:r w:rsidR="00542D35">
        <w:rPr>
          <w:rFonts w:ascii="Times New Roman" w:hAnsi="Times New Roman"/>
          <w:sz w:val="24"/>
          <w:szCs w:val="24"/>
        </w:rPr>
        <w:t xml:space="preserve">the </w:t>
      </w:r>
      <w:r w:rsidRPr="00AB56A1">
        <w:rPr>
          <w:rFonts w:ascii="Times New Roman" w:hAnsi="Times New Roman"/>
          <w:sz w:val="24"/>
          <w:szCs w:val="24"/>
        </w:rPr>
        <w:t>reduction of the distance in relation to the amount of income.</w:t>
      </w:r>
    </w:p>
    <w:p w14:paraId="290B5954" w14:textId="45B8CEA1"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 xml:space="preserve">Secondly, apart from the general income level dynamics, it is no less important to what </w:t>
      </w:r>
      <w:r w:rsidR="006F3E49" w:rsidRPr="00AB56A1">
        <w:rPr>
          <w:rFonts w:ascii="Times New Roman" w:hAnsi="Times New Roman"/>
          <w:sz w:val="24"/>
          <w:szCs w:val="24"/>
        </w:rPr>
        <w:t>exten</w:t>
      </w:r>
      <w:r w:rsidR="006F3E49">
        <w:rPr>
          <w:rFonts w:ascii="Times New Roman" w:hAnsi="Times New Roman"/>
          <w:sz w:val="24"/>
          <w:szCs w:val="24"/>
        </w:rPr>
        <w:t>t</w:t>
      </w:r>
      <w:r w:rsidR="006F3E49" w:rsidRPr="00AB56A1">
        <w:rPr>
          <w:rFonts w:ascii="Times New Roman" w:hAnsi="Times New Roman"/>
          <w:sz w:val="24"/>
          <w:szCs w:val="24"/>
        </w:rPr>
        <w:t xml:space="preserve"> </w:t>
      </w:r>
      <w:r w:rsidRPr="00AB56A1">
        <w:rPr>
          <w:rFonts w:ascii="Times New Roman" w:hAnsi="Times New Roman"/>
          <w:sz w:val="24"/>
          <w:szCs w:val="24"/>
        </w:rPr>
        <w:t xml:space="preserve">the membership in the EU can involve changes in the income structure (including in terms of income inequalities) in specific national economies in new EU member states. </w:t>
      </w:r>
    </w:p>
    <w:p w14:paraId="336EB64C" w14:textId="77777777"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Analyses carried out</w:t>
      </w:r>
      <w:r w:rsidRPr="00AB56A1">
        <w:rPr>
          <w:rFonts w:ascii="Times New Roman" w:hAnsi="Times New Roman"/>
          <w:i/>
          <w:sz w:val="24"/>
          <w:szCs w:val="24"/>
        </w:rPr>
        <w:t xml:space="preserve"> ex-ante</w:t>
      </w:r>
      <w:r w:rsidRPr="00AB56A1">
        <w:rPr>
          <w:rFonts w:ascii="Times New Roman" w:hAnsi="Times New Roman"/>
          <w:sz w:val="24"/>
          <w:szCs w:val="24"/>
        </w:rPr>
        <w:t xml:space="preserve"> (</w:t>
      </w:r>
      <w:proofErr w:type="spellStart"/>
      <w:r w:rsidRPr="00AB56A1">
        <w:rPr>
          <w:rFonts w:ascii="Times New Roman" w:hAnsi="Times New Roman"/>
          <w:sz w:val="24"/>
          <w:szCs w:val="24"/>
        </w:rPr>
        <w:t>Hubner</w:t>
      </w:r>
      <w:proofErr w:type="spellEnd"/>
      <w:r w:rsidRPr="00AB56A1">
        <w:rPr>
          <w:rFonts w:ascii="Times New Roman" w:hAnsi="Times New Roman"/>
          <w:sz w:val="24"/>
          <w:szCs w:val="24"/>
        </w:rPr>
        <w:t xml:space="preserve"> 2003, </w:t>
      </w:r>
      <w:proofErr w:type="spellStart"/>
      <w:r w:rsidRPr="00AB56A1">
        <w:rPr>
          <w:rFonts w:ascii="Times New Roman" w:hAnsi="Times New Roman"/>
          <w:sz w:val="24"/>
          <w:szCs w:val="24"/>
        </w:rPr>
        <w:t>Szlachta</w:t>
      </w:r>
      <w:proofErr w:type="spellEnd"/>
      <w:r w:rsidRPr="00AB56A1">
        <w:rPr>
          <w:rFonts w:ascii="Times New Roman" w:hAnsi="Times New Roman"/>
          <w:sz w:val="24"/>
          <w:szCs w:val="24"/>
        </w:rPr>
        <w:t xml:space="preserve"> 2003) rather agreed that accession to the EU should favour </w:t>
      </w:r>
      <w:r w:rsidR="00542D35">
        <w:rPr>
          <w:rFonts w:ascii="Times New Roman" w:hAnsi="Times New Roman"/>
          <w:sz w:val="24"/>
          <w:szCs w:val="24"/>
        </w:rPr>
        <w:t xml:space="preserve">the </w:t>
      </w:r>
      <w:r w:rsidRPr="00AB56A1">
        <w:rPr>
          <w:rFonts w:ascii="Times New Roman" w:hAnsi="Times New Roman"/>
          <w:sz w:val="24"/>
          <w:szCs w:val="24"/>
        </w:rPr>
        <w:t>acceleration of economic growth pace in relatively poorer countries. A progressing economic integration, which manifest itself above all in dynamically growing movements of goods and capital, translates directly into a growth of performance of the post-socialist economies, the general income dynamics should also be relatively high.</w:t>
      </w:r>
    </w:p>
    <w:p w14:paraId="39543FBA" w14:textId="5DDBC563"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The first years of membership, i.e. until the moment of outbreak of financial crisis in 2008, confirm that new members develop more quickly (of course, there are exceptions, </w:t>
      </w:r>
      <w:r w:rsidR="00F254D9" w:rsidRPr="00AB56A1">
        <w:rPr>
          <w:rFonts w:ascii="Times New Roman" w:hAnsi="Times New Roman"/>
          <w:sz w:val="24"/>
          <w:szCs w:val="24"/>
        </w:rPr>
        <w:t>e.g.</w:t>
      </w:r>
      <w:r w:rsidRPr="00AB56A1">
        <w:rPr>
          <w:rFonts w:ascii="Times New Roman" w:hAnsi="Times New Roman"/>
          <w:sz w:val="24"/>
          <w:szCs w:val="24"/>
        </w:rPr>
        <w:t xml:space="preserve"> Hungary where the GDP dynamics has decreased to 1.9% in 2007) than </w:t>
      </w:r>
      <w:r w:rsidR="00542D35">
        <w:rPr>
          <w:rFonts w:ascii="Times New Roman" w:hAnsi="Times New Roman"/>
          <w:sz w:val="24"/>
          <w:szCs w:val="24"/>
        </w:rPr>
        <w:t xml:space="preserve">the </w:t>
      </w:r>
      <w:r w:rsidRPr="00AB56A1">
        <w:rPr>
          <w:rFonts w:ascii="Times New Roman" w:hAnsi="Times New Roman"/>
          <w:sz w:val="24"/>
          <w:szCs w:val="24"/>
        </w:rPr>
        <w:t xml:space="preserve">so-called ‘old’ EU, so there is a progressing process of real convergence. It is debatable to what extent the acceleration of the growth pace is a result of accession to the EU, and to what extent a consequence of other factors (e.g. a very good economic time in the global economy and a high growth dynamics in the majority of Post-Soviet states), but while observing the indexes of export dynamics and </w:t>
      </w:r>
      <w:r w:rsidR="00542D35">
        <w:rPr>
          <w:rFonts w:ascii="Times New Roman" w:hAnsi="Times New Roman"/>
          <w:sz w:val="24"/>
          <w:szCs w:val="24"/>
        </w:rPr>
        <w:t xml:space="preserve">the </w:t>
      </w:r>
      <w:r w:rsidRPr="00AB56A1">
        <w:rPr>
          <w:rFonts w:ascii="Times New Roman" w:hAnsi="Times New Roman"/>
          <w:sz w:val="24"/>
          <w:szCs w:val="24"/>
        </w:rPr>
        <w:t xml:space="preserve">inflow of direct foreign investments, we can conclude that the accession to the EU has fundamentally increased the development possibilities of Poland, Czech Republic </w:t>
      </w:r>
      <w:r w:rsidR="00542D35">
        <w:rPr>
          <w:rFonts w:ascii="Times New Roman" w:hAnsi="Times New Roman"/>
          <w:sz w:val="24"/>
          <w:szCs w:val="24"/>
        </w:rPr>
        <w:t>and</w:t>
      </w:r>
      <w:r w:rsidR="00542D35" w:rsidRPr="00AB56A1">
        <w:rPr>
          <w:rFonts w:ascii="Times New Roman" w:hAnsi="Times New Roman"/>
          <w:sz w:val="24"/>
          <w:szCs w:val="24"/>
        </w:rPr>
        <w:t xml:space="preserve"> </w:t>
      </w:r>
      <w:r w:rsidRPr="00AB56A1">
        <w:rPr>
          <w:rFonts w:ascii="Times New Roman" w:hAnsi="Times New Roman"/>
          <w:sz w:val="24"/>
          <w:szCs w:val="24"/>
        </w:rPr>
        <w:t>Estonia.</w:t>
      </w:r>
    </w:p>
    <w:p w14:paraId="701D8C4C" w14:textId="53304B11"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 faster (i.e. characterised by higher dynamics in comparison to </w:t>
      </w:r>
      <w:r w:rsidR="00542D35">
        <w:rPr>
          <w:rFonts w:ascii="Times New Roman" w:hAnsi="Times New Roman"/>
          <w:sz w:val="24"/>
          <w:szCs w:val="24"/>
        </w:rPr>
        <w:t xml:space="preserve">the </w:t>
      </w:r>
      <w:r w:rsidRPr="00AB56A1">
        <w:rPr>
          <w:rFonts w:ascii="Times New Roman" w:hAnsi="Times New Roman"/>
          <w:sz w:val="24"/>
          <w:szCs w:val="24"/>
        </w:rPr>
        <w:t xml:space="preserve">so-called ‘old’ EU) economic growth in post-socialist countries has </w:t>
      </w:r>
      <w:r w:rsidR="00542D35">
        <w:rPr>
          <w:rFonts w:ascii="Times New Roman" w:hAnsi="Times New Roman"/>
          <w:sz w:val="24"/>
          <w:szCs w:val="24"/>
        </w:rPr>
        <w:t xml:space="preserve">an </w:t>
      </w:r>
      <w:r w:rsidRPr="00AB56A1">
        <w:rPr>
          <w:rFonts w:ascii="Times New Roman" w:hAnsi="Times New Roman"/>
          <w:sz w:val="24"/>
          <w:szCs w:val="24"/>
        </w:rPr>
        <w:t xml:space="preserve">impact on </w:t>
      </w:r>
      <w:r w:rsidR="00542D35">
        <w:rPr>
          <w:rFonts w:ascii="Times New Roman" w:hAnsi="Times New Roman"/>
          <w:sz w:val="24"/>
          <w:szCs w:val="24"/>
        </w:rPr>
        <w:t xml:space="preserve">the </w:t>
      </w:r>
      <w:r w:rsidRPr="00AB56A1">
        <w:rPr>
          <w:rFonts w:ascii="Times New Roman" w:hAnsi="Times New Roman"/>
          <w:sz w:val="24"/>
          <w:szCs w:val="24"/>
        </w:rPr>
        <w:t xml:space="preserve">gradual closure of </w:t>
      </w:r>
      <w:r w:rsidR="00542D35">
        <w:rPr>
          <w:rFonts w:ascii="Times New Roman" w:hAnsi="Times New Roman"/>
          <w:sz w:val="24"/>
          <w:szCs w:val="24"/>
        </w:rPr>
        <w:t xml:space="preserve">the </w:t>
      </w:r>
      <w:r w:rsidRPr="00AB56A1">
        <w:rPr>
          <w:rFonts w:ascii="Times New Roman" w:hAnsi="Times New Roman"/>
          <w:sz w:val="24"/>
          <w:szCs w:val="24"/>
        </w:rPr>
        <w:t xml:space="preserve">development gap, i.e. the so-called ‘real convergence’ occur. A progressive convergence in the form of decreasing difference in GDP p.c. levels occurs mainly </w:t>
      </w:r>
      <w:r w:rsidR="00865E3F" w:rsidRPr="00AB56A1">
        <w:rPr>
          <w:rFonts w:ascii="Times New Roman" w:hAnsi="Times New Roman"/>
          <w:sz w:val="24"/>
          <w:szCs w:val="24"/>
        </w:rPr>
        <w:t>through</w:t>
      </w:r>
      <w:r w:rsidRPr="00AB56A1">
        <w:rPr>
          <w:rFonts w:ascii="Times New Roman" w:hAnsi="Times New Roman"/>
          <w:sz w:val="24"/>
          <w:szCs w:val="24"/>
        </w:rPr>
        <w:t xml:space="preserve"> a fast growth of work performance in </w:t>
      </w:r>
      <w:r w:rsidR="00542D35">
        <w:rPr>
          <w:rFonts w:ascii="Times New Roman" w:hAnsi="Times New Roman"/>
          <w:sz w:val="24"/>
          <w:szCs w:val="24"/>
        </w:rPr>
        <w:t xml:space="preserve">the </w:t>
      </w:r>
      <w:r w:rsidRPr="00AB56A1">
        <w:rPr>
          <w:rFonts w:ascii="Times New Roman" w:hAnsi="Times New Roman"/>
          <w:sz w:val="24"/>
          <w:szCs w:val="24"/>
        </w:rPr>
        <w:t>economies of new EU members.</w:t>
      </w:r>
    </w:p>
    <w:p w14:paraId="389C359F"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p>
    <w:p w14:paraId="5BC1F1E5" w14:textId="589034E5" w:rsidR="00916C90" w:rsidRPr="00AB56A1" w:rsidRDefault="00756D22"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 xml:space="preserve">Table 11. </w:t>
      </w:r>
      <w:r w:rsidR="000445BA">
        <w:rPr>
          <w:rFonts w:ascii="Times New Roman" w:hAnsi="Times New Roman"/>
          <w:sz w:val="24"/>
          <w:szCs w:val="24"/>
        </w:rPr>
        <w:t>Labour productivity</w:t>
      </w:r>
      <w:r w:rsidRPr="00AB56A1">
        <w:rPr>
          <w:rFonts w:ascii="Times New Roman" w:hAnsi="Times New Roman"/>
          <w:sz w:val="24"/>
          <w:szCs w:val="24"/>
        </w:rPr>
        <w:t xml:space="preserve"> in </w:t>
      </w:r>
      <w:r w:rsidR="00542D35">
        <w:rPr>
          <w:rFonts w:ascii="Times New Roman" w:hAnsi="Times New Roman"/>
          <w:sz w:val="24"/>
          <w:szCs w:val="24"/>
        </w:rPr>
        <w:t xml:space="preserve">the </w:t>
      </w:r>
      <w:r w:rsidRPr="00AB56A1">
        <w:rPr>
          <w:rFonts w:ascii="Times New Roman" w:hAnsi="Times New Roman"/>
          <w:sz w:val="24"/>
          <w:szCs w:val="24"/>
        </w:rPr>
        <w:t>‘old’ and ‘new EU</w:t>
      </w:r>
      <w:r w:rsidR="00F254D9" w:rsidRPr="00AB56A1">
        <w:rPr>
          <w:rFonts w:ascii="Times New Roman" w:hAnsi="Times New Roman"/>
          <w:sz w:val="24"/>
          <w:szCs w:val="24"/>
        </w:rPr>
        <w:t>’</w:t>
      </w:r>
      <w:r w:rsidRPr="00AB56A1">
        <w:rPr>
          <w:rFonts w:ascii="Times New Roman" w:hAnsi="Times New Roman"/>
          <w:sz w:val="24"/>
          <w:szCs w:val="24"/>
        </w:rPr>
        <w:t xml:space="preserve"> (mean for the </w:t>
      </w:r>
      <w:r w:rsidR="00F254D9" w:rsidRPr="00AB56A1">
        <w:rPr>
          <w:rFonts w:ascii="Times New Roman" w:hAnsi="Times New Roman"/>
          <w:sz w:val="24"/>
          <w:szCs w:val="24"/>
        </w:rPr>
        <w:t>whole</w:t>
      </w:r>
      <w:r w:rsidRPr="00AB56A1">
        <w:rPr>
          <w:rFonts w:ascii="Times New Roman" w:hAnsi="Times New Roman"/>
          <w:sz w:val="24"/>
          <w:szCs w:val="24"/>
        </w:rPr>
        <w:t xml:space="preserve"> EU=100)</w:t>
      </w:r>
    </w:p>
    <w:tbl>
      <w:tblPr>
        <w:tblW w:w="5840" w:type="dxa"/>
        <w:tblInd w:w="93" w:type="dxa"/>
        <w:tblLook w:val="0000" w:firstRow="0" w:lastRow="0" w:firstColumn="0" w:lastColumn="0" w:noHBand="0" w:noVBand="0"/>
      </w:tblPr>
      <w:tblGrid>
        <w:gridCol w:w="2000"/>
        <w:gridCol w:w="960"/>
        <w:gridCol w:w="960"/>
        <w:gridCol w:w="960"/>
        <w:gridCol w:w="960"/>
      </w:tblGrid>
      <w:tr w:rsidR="00916C90" w:rsidRPr="00AB56A1" w14:paraId="09337C16" w14:textId="77777777" w:rsidTr="000027D9">
        <w:trPr>
          <w:trHeight w:val="285"/>
        </w:trPr>
        <w:tc>
          <w:tcPr>
            <w:tcW w:w="2000" w:type="dxa"/>
            <w:tcBorders>
              <w:top w:val="single" w:sz="12" w:space="0" w:color="000000"/>
              <w:left w:val="single" w:sz="12" w:space="0" w:color="000000"/>
              <w:bottom w:val="single" w:sz="4" w:space="0" w:color="000000"/>
              <w:right w:val="single" w:sz="4" w:space="0" w:color="000000"/>
            </w:tcBorders>
            <w:shd w:val="clear" w:color="auto" w:fill="FFFFFF"/>
            <w:vAlign w:val="bottom"/>
          </w:tcPr>
          <w:p w14:paraId="3A69D5ED"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 </w:t>
            </w:r>
          </w:p>
        </w:tc>
        <w:tc>
          <w:tcPr>
            <w:tcW w:w="960" w:type="dxa"/>
            <w:tcBorders>
              <w:top w:val="single" w:sz="12" w:space="0" w:color="000000"/>
              <w:left w:val="nil"/>
              <w:bottom w:val="single" w:sz="4" w:space="0" w:color="000000"/>
              <w:right w:val="single" w:sz="4" w:space="0" w:color="000000"/>
            </w:tcBorders>
            <w:shd w:val="clear" w:color="auto" w:fill="CCCCFF"/>
            <w:vAlign w:val="bottom"/>
          </w:tcPr>
          <w:p w14:paraId="0940C8F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2004</w:t>
            </w:r>
          </w:p>
        </w:tc>
        <w:tc>
          <w:tcPr>
            <w:tcW w:w="960" w:type="dxa"/>
            <w:tcBorders>
              <w:top w:val="single" w:sz="12" w:space="0" w:color="000000"/>
              <w:left w:val="nil"/>
              <w:bottom w:val="single" w:sz="4" w:space="0" w:color="000000"/>
              <w:right w:val="single" w:sz="4" w:space="0" w:color="000000"/>
            </w:tcBorders>
            <w:shd w:val="clear" w:color="auto" w:fill="CCCCFF"/>
            <w:vAlign w:val="bottom"/>
          </w:tcPr>
          <w:p w14:paraId="156AFD8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2005</w:t>
            </w:r>
          </w:p>
        </w:tc>
        <w:tc>
          <w:tcPr>
            <w:tcW w:w="960" w:type="dxa"/>
            <w:tcBorders>
              <w:top w:val="single" w:sz="12" w:space="0" w:color="000000"/>
              <w:left w:val="nil"/>
              <w:bottom w:val="single" w:sz="4" w:space="0" w:color="000000"/>
              <w:right w:val="single" w:sz="4" w:space="0" w:color="000000"/>
            </w:tcBorders>
            <w:shd w:val="clear" w:color="auto" w:fill="CCCCFF"/>
            <w:vAlign w:val="bottom"/>
          </w:tcPr>
          <w:p w14:paraId="448D14A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2006</w:t>
            </w:r>
          </w:p>
        </w:tc>
        <w:tc>
          <w:tcPr>
            <w:tcW w:w="960" w:type="dxa"/>
            <w:tcBorders>
              <w:top w:val="single" w:sz="12" w:space="0" w:color="000000"/>
              <w:left w:val="nil"/>
              <w:bottom w:val="single" w:sz="4" w:space="0" w:color="000000"/>
              <w:right w:val="single" w:sz="12" w:space="0" w:color="000000"/>
            </w:tcBorders>
            <w:shd w:val="clear" w:color="auto" w:fill="CCCCFF"/>
            <w:vAlign w:val="bottom"/>
          </w:tcPr>
          <w:p w14:paraId="735E717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2007</w:t>
            </w:r>
          </w:p>
        </w:tc>
      </w:tr>
      <w:tr w:rsidR="00916C90" w:rsidRPr="00AB56A1" w14:paraId="59364501" w14:textId="77777777" w:rsidTr="000027D9">
        <w:trPr>
          <w:trHeight w:val="300"/>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172BFEBC"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EU (15 states)</w:t>
            </w:r>
          </w:p>
        </w:tc>
        <w:tc>
          <w:tcPr>
            <w:tcW w:w="960" w:type="dxa"/>
            <w:tcBorders>
              <w:top w:val="nil"/>
              <w:left w:val="nil"/>
              <w:bottom w:val="single" w:sz="4" w:space="0" w:color="000000"/>
              <w:right w:val="single" w:sz="4" w:space="0" w:color="000000"/>
            </w:tcBorders>
            <w:shd w:val="clear" w:color="auto" w:fill="FFFFFF"/>
            <w:vAlign w:val="bottom"/>
          </w:tcPr>
          <w:p w14:paraId="0DD8224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110.9</w:t>
            </w:r>
          </w:p>
        </w:tc>
        <w:tc>
          <w:tcPr>
            <w:tcW w:w="960" w:type="dxa"/>
            <w:tcBorders>
              <w:top w:val="nil"/>
              <w:left w:val="nil"/>
              <w:bottom w:val="single" w:sz="4" w:space="0" w:color="000000"/>
              <w:right w:val="single" w:sz="4" w:space="0" w:color="000000"/>
            </w:tcBorders>
            <w:shd w:val="clear" w:color="auto" w:fill="FFFFFF"/>
            <w:vAlign w:val="bottom"/>
          </w:tcPr>
          <w:p w14:paraId="37A6D4A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110.7</w:t>
            </w:r>
          </w:p>
        </w:tc>
        <w:tc>
          <w:tcPr>
            <w:tcW w:w="960" w:type="dxa"/>
            <w:tcBorders>
              <w:top w:val="nil"/>
              <w:left w:val="nil"/>
              <w:bottom w:val="single" w:sz="4" w:space="0" w:color="000000"/>
              <w:right w:val="single" w:sz="4" w:space="0" w:color="000000"/>
            </w:tcBorders>
            <w:shd w:val="clear" w:color="auto" w:fill="FFFFFF"/>
            <w:vAlign w:val="bottom"/>
          </w:tcPr>
          <w:p w14:paraId="1639F27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110.3</w:t>
            </w:r>
          </w:p>
        </w:tc>
        <w:tc>
          <w:tcPr>
            <w:tcW w:w="960" w:type="dxa"/>
            <w:tcBorders>
              <w:top w:val="nil"/>
              <w:left w:val="nil"/>
              <w:bottom w:val="single" w:sz="4" w:space="0" w:color="000000"/>
              <w:right w:val="single" w:sz="12" w:space="0" w:color="000000"/>
            </w:tcBorders>
            <w:shd w:val="clear" w:color="auto" w:fill="FFFFFF"/>
            <w:vAlign w:val="bottom"/>
          </w:tcPr>
          <w:p w14:paraId="4817EEF0" w14:textId="07A40C2E"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109.9</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698ED926"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12020CB6"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Bulgaria</w:t>
            </w:r>
          </w:p>
        </w:tc>
        <w:tc>
          <w:tcPr>
            <w:tcW w:w="960" w:type="dxa"/>
            <w:tcBorders>
              <w:top w:val="nil"/>
              <w:left w:val="nil"/>
              <w:bottom w:val="single" w:sz="4" w:space="0" w:color="000000"/>
              <w:right w:val="single" w:sz="4" w:space="0" w:color="000000"/>
            </w:tcBorders>
            <w:shd w:val="clear" w:color="auto" w:fill="FFFFFF"/>
            <w:vAlign w:val="bottom"/>
          </w:tcPr>
          <w:p w14:paraId="73AE515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33.8</w:t>
            </w:r>
          </w:p>
        </w:tc>
        <w:tc>
          <w:tcPr>
            <w:tcW w:w="960" w:type="dxa"/>
            <w:tcBorders>
              <w:top w:val="nil"/>
              <w:left w:val="nil"/>
              <w:bottom w:val="single" w:sz="4" w:space="0" w:color="000000"/>
              <w:right w:val="single" w:sz="4" w:space="0" w:color="000000"/>
            </w:tcBorders>
            <w:shd w:val="clear" w:color="auto" w:fill="FFFFFF"/>
            <w:vAlign w:val="bottom"/>
          </w:tcPr>
          <w:p w14:paraId="0172A14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34.4</w:t>
            </w:r>
          </w:p>
        </w:tc>
        <w:tc>
          <w:tcPr>
            <w:tcW w:w="960" w:type="dxa"/>
            <w:tcBorders>
              <w:top w:val="nil"/>
              <w:left w:val="nil"/>
              <w:bottom w:val="single" w:sz="4" w:space="0" w:color="000000"/>
              <w:right w:val="single" w:sz="4" w:space="0" w:color="000000"/>
            </w:tcBorders>
            <w:shd w:val="clear" w:color="auto" w:fill="FFFFFF"/>
            <w:vAlign w:val="bottom"/>
          </w:tcPr>
          <w:p w14:paraId="25A1658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34.9</w:t>
            </w:r>
          </w:p>
        </w:tc>
        <w:tc>
          <w:tcPr>
            <w:tcW w:w="960" w:type="dxa"/>
            <w:tcBorders>
              <w:top w:val="nil"/>
              <w:left w:val="nil"/>
              <w:bottom w:val="single" w:sz="4" w:space="0" w:color="000000"/>
              <w:right w:val="single" w:sz="12" w:space="0" w:color="000000"/>
            </w:tcBorders>
            <w:shd w:val="clear" w:color="auto" w:fill="FFFFFF"/>
            <w:vAlign w:val="bottom"/>
          </w:tcPr>
          <w:p w14:paraId="3BC0ABE2" w14:textId="5B117D44"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35.8</w:t>
            </w:r>
            <w:r w:rsidR="008A0894">
              <w:rPr>
                <w:rFonts w:ascii="Arial" w:hAnsi="Arial"/>
                <w:sz w:val="20"/>
                <w:szCs w:val="20"/>
                <w:vertAlign w:val="superscript"/>
              </w:rPr>
              <w:t> </w:t>
            </w:r>
          </w:p>
        </w:tc>
      </w:tr>
      <w:tr w:rsidR="00916C90" w:rsidRPr="00AB56A1" w14:paraId="13B61BCB"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282D7972"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Czech Republic</w:t>
            </w:r>
          </w:p>
        </w:tc>
        <w:tc>
          <w:tcPr>
            <w:tcW w:w="960" w:type="dxa"/>
            <w:tcBorders>
              <w:top w:val="nil"/>
              <w:left w:val="nil"/>
              <w:bottom w:val="single" w:sz="4" w:space="0" w:color="000000"/>
              <w:right w:val="single" w:sz="4" w:space="0" w:color="000000"/>
            </w:tcBorders>
            <w:shd w:val="clear" w:color="auto" w:fill="FFFFFF"/>
            <w:vAlign w:val="bottom"/>
          </w:tcPr>
          <w:p w14:paraId="7398E0C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68.2</w:t>
            </w:r>
          </w:p>
        </w:tc>
        <w:tc>
          <w:tcPr>
            <w:tcW w:w="960" w:type="dxa"/>
            <w:tcBorders>
              <w:top w:val="nil"/>
              <w:left w:val="nil"/>
              <w:bottom w:val="single" w:sz="4" w:space="0" w:color="000000"/>
              <w:right w:val="single" w:sz="4" w:space="0" w:color="000000"/>
            </w:tcBorders>
            <w:shd w:val="clear" w:color="auto" w:fill="FFFFFF"/>
            <w:vAlign w:val="bottom"/>
          </w:tcPr>
          <w:p w14:paraId="4AF5293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69.2</w:t>
            </w:r>
          </w:p>
        </w:tc>
        <w:tc>
          <w:tcPr>
            <w:tcW w:w="960" w:type="dxa"/>
            <w:tcBorders>
              <w:top w:val="nil"/>
              <w:left w:val="nil"/>
              <w:bottom w:val="single" w:sz="4" w:space="0" w:color="000000"/>
              <w:right w:val="single" w:sz="4" w:space="0" w:color="000000"/>
            </w:tcBorders>
            <w:shd w:val="clear" w:color="auto" w:fill="FFFFFF"/>
            <w:vAlign w:val="bottom"/>
          </w:tcPr>
          <w:p w14:paraId="3A3BB9F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70.8</w:t>
            </w:r>
          </w:p>
        </w:tc>
        <w:tc>
          <w:tcPr>
            <w:tcW w:w="960" w:type="dxa"/>
            <w:tcBorders>
              <w:top w:val="nil"/>
              <w:left w:val="nil"/>
              <w:bottom w:val="single" w:sz="4" w:space="0" w:color="000000"/>
              <w:right w:val="single" w:sz="12" w:space="0" w:color="000000"/>
            </w:tcBorders>
            <w:shd w:val="clear" w:color="auto" w:fill="FFFFFF"/>
            <w:vAlign w:val="bottom"/>
          </w:tcPr>
          <w:p w14:paraId="20590F8B" w14:textId="3F14B761"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73.0</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35ED7225"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4C54FB7C"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Estonia</w:t>
            </w:r>
          </w:p>
        </w:tc>
        <w:tc>
          <w:tcPr>
            <w:tcW w:w="960" w:type="dxa"/>
            <w:tcBorders>
              <w:top w:val="nil"/>
              <w:left w:val="nil"/>
              <w:bottom w:val="single" w:sz="4" w:space="0" w:color="000000"/>
              <w:right w:val="single" w:sz="4" w:space="0" w:color="000000"/>
            </w:tcBorders>
            <w:shd w:val="clear" w:color="auto" w:fill="FFFFFF"/>
            <w:vAlign w:val="bottom"/>
          </w:tcPr>
          <w:p w14:paraId="73409B7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56.9</w:t>
            </w:r>
          </w:p>
        </w:tc>
        <w:tc>
          <w:tcPr>
            <w:tcW w:w="960" w:type="dxa"/>
            <w:tcBorders>
              <w:top w:val="nil"/>
              <w:left w:val="nil"/>
              <w:bottom w:val="single" w:sz="4" w:space="0" w:color="000000"/>
              <w:right w:val="single" w:sz="4" w:space="0" w:color="000000"/>
            </w:tcBorders>
            <w:shd w:val="clear" w:color="auto" w:fill="FFFFFF"/>
            <w:vAlign w:val="bottom"/>
          </w:tcPr>
          <w:p w14:paraId="1099E34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61.8</w:t>
            </w:r>
          </w:p>
        </w:tc>
        <w:tc>
          <w:tcPr>
            <w:tcW w:w="960" w:type="dxa"/>
            <w:tcBorders>
              <w:top w:val="nil"/>
              <w:left w:val="nil"/>
              <w:bottom w:val="single" w:sz="4" w:space="0" w:color="000000"/>
              <w:right w:val="single" w:sz="4" w:space="0" w:color="000000"/>
            </w:tcBorders>
            <w:shd w:val="clear" w:color="auto" w:fill="FFFFFF"/>
            <w:vAlign w:val="bottom"/>
          </w:tcPr>
          <w:p w14:paraId="7AB0DEC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64.4</w:t>
            </w:r>
          </w:p>
        </w:tc>
        <w:tc>
          <w:tcPr>
            <w:tcW w:w="960" w:type="dxa"/>
            <w:tcBorders>
              <w:top w:val="nil"/>
              <w:left w:val="nil"/>
              <w:bottom w:val="single" w:sz="4" w:space="0" w:color="000000"/>
              <w:right w:val="single" w:sz="12" w:space="0" w:color="000000"/>
            </w:tcBorders>
            <w:shd w:val="clear" w:color="auto" w:fill="FFFFFF"/>
            <w:vAlign w:val="bottom"/>
          </w:tcPr>
          <w:p w14:paraId="6E5E6249" w14:textId="765607E3"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68.3</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0B4194F7"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7140D75F"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Latvia</w:t>
            </w:r>
          </w:p>
        </w:tc>
        <w:tc>
          <w:tcPr>
            <w:tcW w:w="960" w:type="dxa"/>
            <w:tcBorders>
              <w:top w:val="nil"/>
              <w:left w:val="nil"/>
              <w:bottom w:val="single" w:sz="4" w:space="0" w:color="000000"/>
              <w:right w:val="single" w:sz="4" w:space="0" w:color="000000"/>
            </w:tcBorders>
            <w:shd w:val="clear" w:color="auto" w:fill="FFFFFF"/>
            <w:vAlign w:val="bottom"/>
          </w:tcPr>
          <w:p w14:paraId="5F9340D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46.0</w:t>
            </w:r>
          </w:p>
        </w:tc>
        <w:tc>
          <w:tcPr>
            <w:tcW w:w="960" w:type="dxa"/>
            <w:tcBorders>
              <w:top w:val="nil"/>
              <w:left w:val="nil"/>
              <w:bottom w:val="single" w:sz="4" w:space="0" w:color="000000"/>
              <w:right w:val="single" w:sz="4" w:space="0" w:color="000000"/>
            </w:tcBorders>
            <w:shd w:val="clear" w:color="auto" w:fill="FFFFFF"/>
            <w:vAlign w:val="bottom"/>
          </w:tcPr>
          <w:p w14:paraId="2F2C20BF"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49.3</w:t>
            </w:r>
          </w:p>
        </w:tc>
        <w:tc>
          <w:tcPr>
            <w:tcW w:w="960" w:type="dxa"/>
            <w:tcBorders>
              <w:top w:val="nil"/>
              <w:left w:val="nil"/>
              <w:bottom w:val="single" w:sz="4" w:space="0" w:color="000000"/>
              <w:right w:val="single" w:sz="4" w:space="0" w:color="000000"/>
            </w:tcBorders>
            <w:shd w:val="clear" w:color="auto" w:fill="FFFFFF"/>
            <w:vAlign w:val="bottom"/>
          </w:tcPr>
          <w:p w14:paraId="4AF11DA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51.4</w:t>
            </w:r>
          </w:p>
        </w:tc>
        <w:tc>
          <w:tcPr>
            <w:tcW w:w="960" w:type="dxa"/>
            <w:tcBorders>
              <w:top w:val="nil"/>
              <w:left w:val="nil"/>
              <w:bottom w:val="single" w:sz="4" w:space="0" w:color="000000"/>
              <w:right w:val="single" w:sz="12" w:space="0" w:color="000000"/>
            </w:tcBorders>
            <w:shd w:val="clear" w:color="auto" w:fill="FFFFFF"/>
            <w:vAlign w:val="bottom"/>
          </w:tcPr>
          <w:p w14:paraId="1F0B301D" w14:textId="75139171"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53.0</w:t>
            </w:r>
            <w:r w:rsidR="008A0894">
              <w:rPr>
                <w:rFonts w:ascii="Arial" w:hAnsi="Arial"/>
                <w:sz w:val="20"/>
                <w:szCs w:val="20"/>
                <w:vertAlign w:val="superscript"/>
              </w:rPr>
              <w:t> </w:t>
            </w:r>
          </w:p>
        </w:tc>
      </w:tr>
      <w:tr w:rsidR="00916C90" w:rsidRPr="00AB56A1" w14:paraId="6C202860"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6DFC85B2"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Lithuania</w:t>
            </w:r>
          </w:p>
        </w:tc>
        <w:tc>
          <w:tcPr>
            <w:tcW w:w="960" w:type="dxa"/>
            <w:tcBorders>
              <w:top w:val="nil"/>
              <w:left w:val="nil"/>
              <w:bottom w:val="single" w:sz="4" w:space="0" w:color="000000"/>
              <w:right w:val="single" w:sz="4" w:space="0" w:color="000000"/>
            </w:tcBorders>
            <w:shd w:val="clear" w:color="auto" w:fill="FFFFFF"/>
            <w:vAlign w:val="bottom"/>
          </w:tcPr>
          <w:p w14:paraId="0BA1DFD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53.4</w:t>
            </w:r>
          </w:p>
        </w:tc>
        <w:tc>
          <w:tcPr>
            <w:tcW w:w="960" w:type="dxa"/>
            <w:tcBorders>
              <w:top w:val="nil"/>
              <w:left w:val="nil"/>
              <w:bottom w:val="single" w:sz="4" w:space="0" w:color="000000"/>
              <w:right w:val="single" w:sz="4" w:space="0" w:color="000000"/>
            </w:tcBorders>
            <w:shd w:val="clear" w:color="auto" w:fill="FFFFFF"/>
            <w:vAlign w:val="bottom"/>
          </w:tcPr>
          <w:p w14:paraId="5C14535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54.8</w:t>
            </w:r>
          </w:p>
        </w:tc>
        <w:tc>
          <w:tcPr>
            <w:tcW w:w="960" w:type="dxa"/>
            <w:tcBorders>
              <w:top w:val="nil"/>
              <w:left w:val="nil"/>
              <w:bottom w:val="single" w:sz="4" w:space="0" w:color="000000"/>
              <w:right w:val="single" w:sz="4" w:space="0" w:color="000000"/>
            </w:tcBorders>
            <w:shd w:val="clear" w:color="auto" w:fill="FFFFFF"/>
            <w:vAlign w:val="bottom"/>
          </w:tcPr>
          <w:p w14:paraId="12CDA7C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57.2</w:t>
            </w:r>
          </w:p>
        </w:tc>
        <w:tc>
          <w:tcPr>
            <w:tcW w:w="960" w:type="dxa"/>
            <w:tcBorders>
              <w:top w:val="nil"/>
              <w:left w:val="nil"/>
              <w:bottom w:val="single" w:sz="4" w:space="0" w:color="000000"/>
              <w:right w:val="single" w:sz="12" w:space="0" w:color="000000"/>
            </w:tcBorders>
            <w:shd w:val="clear" w:color="auto" w:fill="FFFFFF"/>
            <w:vAlign w:val="bottom"/>
          </w:tcPr>
          <w:p w14:paraId="76A9D368" w14:textId="0D98A886"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60.3</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1754FDAF"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28B9E4C9"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Hungary</w:t>
            </w:r>
          </w:p>
        </w:tc>
        <w:tc>
          <w:tcPr>
            <w:tcW w:w="960" w:type="dxa"/>
            <w:tcBorders>
              <w:top w:val="nil"/>
              <w:left w:val="nil"/>
              <w:bottom w:val="single" w:sz="4" w:space="0" w:color="000000"/>
              <w:right w:val="single" w:sz="4" w:space="0" w:color="000000"/>
            </w:tcBorders>
            <w:shd w:val="clear" w:color="auto" w:fill="FFFFFF"/>
            <w:vAlign w:val="bottom"/>
          </w:tcPr>
          <w:p w14:paraId="7E8ABADF"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72.3</w:t>
            </w:r>
          </w:p>
        </w:tc>
        <w:tc>
          <w:tcPr>
            <w:tcW w:w="960" w:type="dxa"/>
            <w:tcBorders>
              <w:top w:val="nil"/>
              <w:left w:val="nil"/>
              <w:bottom w:val="single" w:sz="4" w:space="0" w:color="000000"/>
              <w:right w:val="single" w:sz="4" w:space="0" w:color="000000"/>
            </w:tcBorders>
            <w:shd w:val="clear" w:color="auto" w:fill="FFFFFF"/>
            <w:vAlign w:val="bottom"/>
          </w:tcPr>
          <w:p w14:paraId="2B3004A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73.6</w:t>
            </w:r>
          </w:p>
        </w:tc>
        <w:tc>
          <w:tcPr>
            <w:tcW w:w="960" w:type="dxa"/>
            <w:tcBorders>
              <w:top w:val="nil"/>
              <w:left w:val="nil"/>
              <w:bottom w:val="single" w:sz="4" w:space="0" w:color="000000"/>
              <w:right w:val="single" w:sz="4" w:space="0" w:color="000000"/>
            </w:tcBorders>
            <w:shd w:val="clear" w:color="auto" w:fill="FFFFFF"/>
            <w:vAlign w:val="bottom"/>
          </w:tcPr>
          <w:p w14:paraId="6C2E8BFF"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74.6</w:t>
            </w:r>
          </w:p>
        </w:tc>
        <w:tc>
          <w:tcPr>
            <w:tcW w:w="960" w:type="dxa"/>
            <w:tcBorders>
              <w:top w:val="nil"/>
              <w:left w:val="nil"/>
              <w:bottom w:val="single" w:sz="4" w:space="0" w:color="000000"/>
              <w:right w:val="single" w:sz="12" w:space="0" w:color="000000"/>
            </w:tcBorders>
            <w:shd w:val="clear" w:color="auto" w:fill="FFFFFF"/>
            <w:vAlign w:val="bottom"/>
          </w:tcPr>
          <w:p w14:paraId="50BDAAF9" w14:textId="37ED4650"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74.5</w:t>
            </w:r>
            <w:r w:rsidR="008A0894">
              <w:rPr>
                <w:rFonts w:ascii="Arial" w:hAnsi="Arial"/>
                <w:sz w:val="20"/>
                <w:szCs w:val="20"/>
                <w:vertAlign w:val="superscript"/>
              </w:rPr>
              <w:t> </w:t>
            </w:r>
          </w:p>
        </w:tc>
      </w:tr>
      <w:tr w:rsidR="00916C90" w:rsidRPr="00AB56A1" w14:paraId="5168DF5F"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3294D347"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Poland</w:t>
            </w:r>
          </w:p>
        </w:tc>
        <w:tc>
          <w:tcPr>
            <w:tcW w:w="960" w:type="dxa"/>
            <w:tcBorders>
              <w:top w:val="nil"/>
              <w:left w:val="nil"/>
              <w:bottom w:val="single" w:sz="4" w:space="0" w:color="000000"/>
              <w:right w:val="single" w:sz="4" w:space="0" w:color="000000"/>
            </w:tcBorders>
            <w:shd w:val="clear" w:color="auto" w:fill="FFFFFF"/>
            <w:vAlign w:val="bottom"/>
          </w:tcPr>
          <w:p w14:paraId="127A272F"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61.6</w:t>
            </w:r>
            <w:r w:rsidR="00205BDB" w:rsidRPr="00AB56A1">
              <w:rPr>
                <w:rFonts w:ascii="Arial" w:hAnsi="Arial"/>
                <w:sz w:val="20"/>
                <w:szCs w:val="20"/>
                <w:vertAlign w:val="superscript"/>
              </w:rPr>
              <w:t xml:space="preserve"> </w:t>
            </w:r>
          </w:p>
        </w:tc>
        <w:tc>
          <w:tcPr>
            <w:tcW w:w="960" w:type="dxa"/>
            <w:tcBorders>
              <w:top w:val="nil"/>
              <w:left w:val="nil"/>
              <w:bottom w:val="single" w:sz="4" w:space="0" w:color="000000"/>
              <w:right w:val="single" w:sz="4" w:space="0" w:color="000000"/>
            </w:tcBorders>
            <w:shd w:val="clear" w:color="auto" w:fill="FFFFFF"/>
            <w:vAlign w:val="bottom"/>
          </w:tcPr>
          <w:p w14:paraId="733DE82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61.0</w:t>
            </w:r>
            <w:r w:rsidR="00205BDB" w:rsidRPr="00AB56A1">
              <w:rPr>
                <w:rFonts w:ascii="Arial" w:hAnsi="Arial"/>
                <w:sz w:val="20"/>
                <w:szCs w:val="20"/>
                <w:vertAlign w:val="superscript"/>
              </w:rPr>
              <w:t xml:space="preserve"> </w:t>
            </w:r>
          </w:p>
        </w:tc>
        <w:tc>
          <w:tcPr>
            <w:tcW w:w="960" w:type="dxa"/>
            <w:tcBorders>
              <w:top w:val="nil"/>
              <w:left w:val="nil"/>
              <w:bottom w:val="single" w:sz="4" w:space="0" w:color="000000"/>
              <w:right w:val="single" w:sz="4" w:space="0" w:color="000000"/>
            </w:tcBorders>
            <w:shd w:val="clear" w:color="auto" w:fill="FFFFFF"/>
            <w:vAlign w:val="bottom"/>
          </w:tcPr>
          <w:p w14:paraId="28FEFA5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61.1</w:t>
            </w:r>
            <w:r w:rsidR="00205BDB" w:rsidRPr="00AB56A1">
              <w:rPr>
                <w:rFonts w:ascii="Arial" w:hAnsi="Arial"/>
                <w:sz w:val="20"/>
                <w:szCs w:val="20"/>
                <w:vertAlign w:val="superscript"/>
              </w:rPr>
              <w:t xml:space="preserve"> </w:t>
            </w:r>
          </w:p>
        </w:tc>
        <w:tc>
          <w:tcPr>
            <w:tcW w:w="960" w:type="dxa"/>
            <w:tcBorders>
              <w:top w:val="nil"/>
              <w:left w:val="nil"/>
              <w:bottom w:val="single" w:sz="4" w:space="0" w:color="000000"/>
              <w:right w:val="single" w:sz="12" w:space="0" w:color="000000"/>
            </w:tcBorders>
            <w:shd w:val="clear" w:color="auto" w:fill="FFFFFF"/>
            <w:vAlign w:val="bottom"/>
          </w:tcPr>
          <w:p w14:paraId="58D729BB" w14:textId="3F5AEE4F"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61.7</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6F93967C"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3F4E23B1"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Romania</w:t>
            </w:r>
          </w:p>
        </w:tc>
        <w:tc>
          <w:tcPr>
            <w:tcW w:w="960" w:type="dxa"/>
            <w:tcBorders>
              <w:top w:val="nil"/>
              <w:left w:val="nil"/>
              <w:bottom w:val="single" w:sz="4" w:space="0" w:color="000000"/>
              <w:right w:val="single" w:sz="4" w:space="0" w:color="000000"/>
            </w:tcBorders>
            <w:shd w:val="clear" w:color="auto" w:fill="FFFFFF"/>
            <w:vAlign w:val="bottom"/>
          </w:tcPr>
          <w:p w14:paraId="33BC118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34.4</w:t>
            </w:r>
          </w:p>
        </w:tc>
        <w:tc>
          <w:tcPr>
            <w:tcW w:w="960" w:type="dxa"/>
            <w:tcBorders>
              <w:top w:val="nil"/>
              <w:left w:val="nil"/>
              <w:bottom w:val="single" w:sz="4" w:space="0" w:color="000000"/>
              <w:right w:val="single" w:sz="4" w:space="0" w:color="000000"/>
            </w:tcBorders>
            <w:shd w:val="clear" w:color="auto" w:fill="FFFFFF"/>
            <w:vAlign w:val="bottom"/>
          </w:tcPr>
          <w:p w14:paraId="50F8FB7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36.4</w:t>
            </w:r>
          </w:p>
        </w:tc>
        <w:tc>
          <w:tcPr>
            <w:tcW w:w="960" w:type="dxa"/>
            <w:tcBorders>
              <w:top w:val="nil"/>
              <w:left w:val="nil"/>
              <w:bottom w:val="single" w:sz="4" w:space="0" w:color="000000"/>
              <w:right w:val="single" w:sz="4" w:space="0" w:color="000000"/>
            </w:tcBorders>
            <w:shd w:val="clear" w:color="auto" w:fill="FFFFFF"/>
            <w:vAlign w:val="bottom"/>
          </w:tcPr>
          <w:p w14:paraId="7AD3465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39.2</w:t>
            </w:r>
            <w:r w:rsidR="00205BDB" w:rsidRPr="00AB56A1">
              <w:rPr>
                <w:rFonts w:ascii="Arial" w:hAnsi="Arial"/>
                <w:sz w:val="20"/>
                <w:szCs w:val="20"/>
                <w:vertAlign w:val="superscript"/>
              </w:rPr>
              <w:t xml:space="preserve"> </w:t>
            </w:r>
          </w:p>
        </w:tc>
        <w:tc>
          <w:tcPr>
            <w:tcW w:w="960" w:type="dxa"/>
            <w:tcBorders>
              <w:top w:val="nil"/>
              <w:left w:val="nil"/>
              <w:bottom w:val="single" w:sz="4" w:space="0" w:color="000000"/>
              <w:right w:val="single" w:sz="12" w:space="0" w:color="000000"/>
            </w:tcBorders>
            <w:shd w:val="clear" w:color="auto" w:fill="FFFFFF"/>
            <w:vAlign w:val="bottom"/>
          </w:tcPr>
          <w:p w14:paraId="163E5019" w14:textId="0AC8EA41"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40.6</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172C813F" w14:textId="77777777" w:rsidTr="000027D9">
        <w:trPr>
          <w:trHeight w:val="285"/>
        </w:trPr>
        <w:tc>
          <w:tcPr>
            <w:tcW w:w="2000" w:type="dxa"/>
            <w:tcBorders>
              <w:top w:val="nil"/>
              <w:left w:val="single" w:sz="12" w:space="0" w:color="000000"/>
              <w:bottom w:val="single" w:sz="4" w:space="0" w:color="000000"/>
              <w:right w:val="single" w:sz="4" w:space="0" w:color="000000"/>
            </w:tcBorders>
            <w:shd w:val="clear" w:color="auto" w:fill="FFFFFF"/>
            <w:vAlign w:val="bottom"/>
          </w:tcPr>
          <w:p w14:paraId="0C011739"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lastRenderedPageBreak/>
              <w:t>Slovenia</w:t>
            </w:r>
          </w:p>
        </w:tc>
        <w:tc>
          <w:tcPr>
            <w:tcW w:w="960" w:type="dxa"/>
            <w:tcBorders>
              <w:top w:val="nil"/>
              <w:left w:val="nil"/>
              <w:bottom w:val="single" w:sz="4" w:space="0" w:color="000000"/>
              <w:right w:val="single" w:sz="4" w:space="0" w:color="000000"/>
            </w:tcBorders>
            <w:shd w:val="clear" w:color="auto" w:fill="FFFFFF"/>
            <w:vAlign w:val="bottom"/>
          </w:tcPr>
          <w:p w14:paraId="20E4A91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81.0</w:t>
            </w:r>
          </w:p>
        </w:tc>
        <w:tc>
          <w:tcPr>
            <w:tcW w:w="960" w:type="dxa"/>
            <w:tcBorders>
              <w:top w:val="nil"/>
              <w:left w:val="nil"/>
              <w:bottom w:val="single" w:sz="4" w:space="0" w:color="000000"/>
              <w:right w:val="single" w:sz="4" w:space="0" w:color="000000"/>
            </w:tcBorders>
            <w:shd w:val="clear" w:color="auto" w:fill="FFFFFF"/>
            <w:vAlign w:val="bottom"/>
          </w:tcPr>
          <w:p w14:paraId="7F36D65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82.9</w:t>
            </w:r>
          </w:p>
        </w:tc>
        <w:tc>
          <w:tcPr>
            <w:tcW w:w="960" w:type="dxa"/>
            <w:tcBorders>
              <w:top w:val="nil"/>
              <w:left w:val="nil"/>
              <w:bottom w:val="single" w:sz="4" w:space="0" w:color="000000"/>
              <w:right w:val="single" w:sz="4" w:space="0" w:color="000000"/>
            </w:tcBorders>
            <w:shd w:val="clear" w:color="auto" w:fill="FFFFFF"/>
            <w:vAlign w:val="bottom"/>
          </w:tcPr>
          <w:p w14:paraId="75C9369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84.1</w:t>
            </w:r>
          </w:p>
        </w:tc>
        <w:tc>
          <w:tcPr>
            <w:tcW w:w="960" w:type="dxa"/>
            <w:tcBorders>
              <w:top w:val="nil"/>
              <w:left w:val="nil"/>
              <w:bottom w:val="single" w:sz="4" w:space="0" w:color="000000"/>
              <w:right w:val="single" w:sz="12" w:space="0" w:color="000000"/>
            </w:tcBorders>
            <w:shd w:val="clear" w:color="auto" w:fill="FFFFFF"/>
            <w:vAlign w:val="bottom"/>
          </w:tcPr>
          <w:p w14:paraId="43405C94" w14:textId="46FDCE92"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86.8</w:t>
            </w:r>
            <w:r w:rsidR="008A0894">
              <w:rPr>
                <w:rFonts w:ascii="Arial" w:hAnsi="Arial"/>
                <w:sz w:val="20"/>
                <w:szCs w:val="20"/>
                <w:vertAlign w:val="superscript"/>
              </w:rPr>
              <w:t> </w:t>
            </w:r>
            <w:r w:rsidRPr="00AB56A1">
              <w:rPr>
                <w:rFonts w:ascii="Arial" w:hAnsi="Arial"/>
                <w:sz w:val="20"/>
                <w:szCs w:val="20"/>
                <w:vertAlign w:val="superscript"/>
              </w:rPr>
              <w:t xml:space="preserve"> </w:t>
            </w:r>
          </w:p>
        </w:tc>
      </w:tr>
      <w:tr w:rsidR="00916C90" w:rsidRPr="00AB56A1" w14:paraId="215FDE7F" w14:textId="77777777" w:rsidTr="000027D9">
        <w:trPr>
          <w:trHeight w:val="300"/>
        </w:trPr>
        <w:tc>
          <w:tcPr>
            <w:tcW w:w="2000" w:type="dxa"/>
            <w:tcBorders>
              <w:top w:val="nil"/>
              <w:left w:val="single" w:sz="12" w:space="0" w:color="000000"/>
              <w:bottom w:val="single" w:sz="12" w:space="0" w:color="000000"/>
              <w:right w:val="single" w:sz="4" w:space="0" w:color="000000"/>
            </w:tcBorders>
            <w:shd w:val="clear" w:color="auto" w:fill="FFFFFF"/>
            <w:vAlign w:val="bottom"/>
          </w:tcPr>
          <w:p w14:paraId="2166FB72"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Slovakia</w:t>
            </w:r>
          </w:p>
        </w:tc>
        <w:tc>
          <w:tcPr>
            <w:tcW w:w="960" w:type="dxa"/>
            <w:tcBorders>
              <w:top w:val="nil"/>
              <w:left w:val="nil"/>
              <w:bottom w:val="single" w:sz="12" w:space="0" w:color="000000"/>
              <w:right w:val="single" w:sz="4" w:space="0" w:color="000000"/>
            </w:tcBorders>
            <w:shd w:val="clear" w:color="auto" w:fill="FFFFFF"/>
            <w:vAlign w:val="bottom"/>
          </w:tcPr>
          <w:p w14:paraId="06C908A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65.7</w:t>
            </w:r>
          </w:p>
        </w:tc>
        <w:tc>
          <w:tcPr>
            <w:tcW w:w="960" w:type="dxa"/>
            <w:tcBorders>
              <w:top w:val="nil"/>
              <w:left w:val="nil"/>
              <w:bottom w:val="single" w:sz="12" w:space="0" w:color="000000"/>
              <w:right w:val="single" w:sz="4" w:space="0" w:color="000000"/>
            </w:tcBorders>
            <w:shd w:val="clear" w:color="auto" w:fill="FFFFFF"/>
            <w:vAlign w:val="bottom"/>
          </w:tcPr>
          <w:p w14:paraId="695E9A8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68.9</w:t>
            </w:r>
          </w:p>
        </w:tc>
        <w:tc>
          <w:tcPr>
            <w:tcW w:w="960" w:type="dxa"/>
            <w:tcBorders>
              <w:top w:val="nil"/>
              <w:left w:val="nil"/>
              <w:bottom w:val="single" w:sz="12" w:space="0" w:color="000000"/>
              <w:right w:val="single" w:sz="4" w:space="0" w:color="000000"/>
            </w:tcBorders>
            <w:shd w:val="clear" w:color="auto" w:fill="FFFFFF"/>
            <w:vAlign w:val="bottom"/>
          </w:tcPr>
          <w:p w14:paraId="6D5B2A6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71.8</w:t>
            </w:r>
          </w:p>
        </w:tc>
        <w:tc>
          <w:tcPr>
            <w:tcW w:w="960" w:type="dxa"/>
            <w:tcBorders>
              <w:top w:val="nil"/>
              <w:left w:val="nil"/>
              <w:bottom w:val="single" w:sz="12" w:space="0" w:color="000000"/>
              <w:right w:val="single" w:sz="12" w:space="0" w:color="000000"/>
            </w:tcBorders>
            <w:shd w:val="clear" w:color="auto" w:fill="FFFFFF"/>
            <w:vAlign w:val="bottom"/>
          </w:tcPr>
          <w:p w14:paraId="5D766079" w14:textId="44C97E0F"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75.7</w:t>
            </w:r>
            <w:r w:rsidR="008A0894">
              <w:rPr>
                <w:rFonts w:ascii="Arial" w:hAnsi="Arial"/>
                <w:sz w:val="20"/>
                <w:szCs w:val="20"/>
                <w:vertAlign w:val="superscript"/>
              </w:rPr>
              <w:t> </w:t>
            </w:r>
            <w:r w:rsidRPr="00AB56A1">
              <w:rPr>
                <w:rFonts w:ascii="Arial" w:hAnsi="Arial"/>
                <w:sz w:val="20"/>
                <w:szCs w:val="20"/>
                <w:vertAlign w:val="superscript"/>
              </w:rPr>
              <w:t xml:space="preserve"> </w:t>
            </w:r>
          </w:p>
        </w:tc>
      </w:tr>
    </w:tbl>
    <w:p w14:paraId="75E76E1F" w14:textId="2448156D" w:rsidR="00916C90" w:rsidRDefault="00916C90" w:rsidP="00AB05A6">
      <w:pPr>
        <w:spacing w:after="0" w:line="360" w:lineRule="auto"/>
        <w:jc w:val="both"/>
        <w:rPr>
          <w:rFonts w:ascii="Times New Roman" w:hAnsi="Times New Roman"/>
          <w:sz w:val="24"/>
          <w:szCs w:val="24"/>
        </w:rPr>
      </w:pPr>
      <w:r w:rsidRPr="00AB56A1">
        <w:rPr>
          <w:rFonts w:ascii="Times New Roman" w:hAnsi="Times New Roman"/>
          <w:sz w:val="24"/>
          <w:szCs w:val="24"/>
        </w:rPr>
        <w:t xml:space="preserve">Source: </w:t>
      </w:r>
      <w:r w:rsidR="000445BA">
        <w:rPr>
          <w:rFonts w:ascii="Times New Roman" w:hAnsi="Times New Roman"/>
          <w:sz w:val="24"/>
          <w:szCs w:val="24"/>
        </w:rPr>
        <w:t>Author’s</w:t>
      </w:r>
      <w:r w:rsidRPr="00AB56A1">
        <w:rPr>
          <w:rFonts w:ascii="Times New Roman" w:hAnsi="Times New Roman"/>
          <w:sz w:val="24"/>
          <w:szCs w:val="24"/>
        </w:rPr>
        <w:t xml:space="preserve"> calculations based on Eurostat data</w:t>
      </w:r>
    </w:p>
    <w:p w14:paraId="7C6ABC9D" w14:textId="77777777" w:rsidR="000445BA" w:rsidRPr="00AB56A1" w:rsidRDefault="000445BA" w:rsidP="00AB05A6">
      <w:pPr>
        <w:spacing w:after="0" w:line="360" w:lineRule="auto"/>
        <w:jc w:val="both"/>
        <w:rPr>
          <w:rFonts w:ascii="Times New Roman" w:eastAsia="Times New Roman" w:hAnsi="Times New Roman" w:cs="Times New Roman"/>
          <w:sz w:val="24"/>
          <w:szCs w:val="24"/>
        </w:rPr>
      </w:pPr>
    </w:p>
    <w:p w14:paraId="4A78A01C" w14:textId="7E605B8D"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Even though in a long-term period, the income level in </w:t>
      </w:r>
      <w:r w:rsidR="00542D35">
        <w:rPr>
          <w:rFonts w:ascii="Times New Roman" w:hAnsi="Times New Roman"/>
          <w:sz w:val="24"/>
          <w:szCs w:val="24"/>
        </w:rPr>
        <w:t xml:space="preserve">a </w:t>
      </w:r>
      <w:r w:rsidRPr="00AB56A1">
        <w:rPr>
          <w:rFonts w:ascii="Times New Roman" w:hAnsi="Times New Roman"/>
          <w:sz w:val="24"/>
          <w:szCs w:val="24"/>
        </w:rPr>
        <w:t xml:space="preserve">specific economy is specified by the work performance level, in </w:t>
      </w:r>
      <w:r w:rsidR="00542D35">
        <w:rPr>
          <w:rFonts w:ascii="Times New Roman" w:hAnsi="Times New Roman"/>
          <w:sz w:val="24"/>
          <w:szCs w:val="24"/>
        </w:rPr>
        <w:t xml:space="preserve">a </w:t>
      </w:r>
      <w:r w:rsidRPr="00AB56A1">
        <w:rPr>
          <w:rFonts w:ascii="Times New Roman" w:hAnsi="Times New Roman"/>
          <w:sz w:val="24"/>
          <w:szCs w:val="24"/>
        </w:rPr>
        <w:t xml:space="preserve">short-term period, even significant differences may occur sometimes between the salary dynamics and the work performance growth pace. The relation of these two indexes mainly </w:t>
      </w:r>
      <w:r w:rsidR="00542D35" w:rsidRPr="00AB56A1">
        <w:rPr>
          <w:rFonts w:ascii="Times New Roman" w:hAnsi="Times New Roman"/>
          <w:sz w:val="24"/>
          <w:szCs w:val="24"/>
        </w:rPr>
        <w:t xml:space="preserve">depends </w:t>
      </w:r>
      <w:r w:rsidRPr="00AB56A1">
        <w:rPr>
          <w:rFonts w:ascii="Times New Roman" w:hAnsi="Times New Roman"/>
          <w:sz w:val="24"/>
          <w:szCs w:val="24"/>
        </w:rPr>
        <w:t xml:space="preserve">on </w:t>
      </w:r>
      <w:r w:rsidR="00542D35">
        <w:rPr>
          <w:rFonts w:ascii="Times New Roman" w:hAnsi="Times New Roman"/>
          <w:sz w:val="24"/>
          <w:szCs w:val="24"/>
        </w:rPr>
        <w:t xml:space="preserve">the </w:t>
      </w:r>
      <w:r w:rsidRPr="00AB56A1">
        <w:rPr>
          <w:rFonts w:ascii="Times New Roman" w:hAnsi="Times New Roman"/>
          <w:sz w:val="24"/>
          <w:szCs w:val="24"/>
        </w:rPr>
        <w:t xml:space="preserve">situation on the market. A good example here are changes that have occurred on the Polish labour market in </w:t>
      </w:r>
      <w:r w:rsidR="00542D35">
        <w:rPr>
          <w:rFonts w:ascii="Times New Roman" w:hAnsi="Times New Roman"/>
          <w:sz w:val="24"/>
          <w:szCs w:val="24"/>
        </w:rPr>
        <w:t>recent</w:t>
      </w:r>
      <w:r w:rsidRPr="00AB56A1">
        <w:rPr>
          <w:rFonts w:ascii="Times New Roman" w:hAnsi="Times New Roman"/>
          <w:sz w:val="24"/>
          <w:szCs w:val="24"/>
        </w:rPr>
        <w:t xml:space="preserve"> years. Although under conditions of a very high unemployment rate at the beginning of </w:t>
      </w:r>
      <w:r w:rsidR="00542D35">
        <w:rPr>
          <w:rFonts w:ascii="Times New Roman" w:hAnsi="Times New Roman"/>
          <w:sz w:val="24"/>
          <w:szCs w:val="24"/>
        </w:rPr>
        <w:t xml:space="preserve">the </w:t>
      </w:r>
      <w:r w:rsidRPr="00AB56A1">
        <w:rPr>
          <w:rFonts w:ascii="Times New Roman" w:hAnsi="Times New Roman"/>
          <w:sz w:val="24"/>
          <w:szCs w:val="24"/>
        </w:rPr>
        <w:t xml:space="preserve">21st century the growth of work performance was definitely higher than </w:t>
      </w:r>
      <w:r w:rsidR="00542D35">
        <w:rPr>
          <w:rFonts w:ascii="Times New Roman" w:hAnsi="Times New Roman"/>
          <w:sz w:val="24"/>
          <w:szCs w:val="24"/>
        </w:rPr>
        <w:t xml:space="preserve">the </w:t>
      </w:r>
      <w:r w:rsidRPr="00AB56A1">
        <w:rPr>
          <w:rFonts w:ascii="Times New Roman" w:hAnsi="Times New Roman"/>
          <w:sz w:val="24"/>
          <w:szCs w:val="24"/>
        </w:rPr>
        <w:t>wages growth pace (and</w:t>
      </w:r>
      <w:r w:rsidR="00542D35">
        <w:rPr>
          <w:rFonts w:ascii="Times New Roman" w:hAnsi="Times New Roman"/>
          <w:sz w:val="24"/>
          <w:szCs w:val="24"/>
        </w:rPr>
        <w:t>,</w:t>
      </w:r>
      <w:r w:rsidRPr="00AB56A1">
        <w:rPr>
          <w:rFonts w:ascii="Times New Roman" w:hAnsi="Times New Roman"/>
          <w:sz w:val="24"/>
          <w:szCs w:val="24"/>
        </w:rPr>
        <w:t xml:space="preserve"> therefore, the gains of enterprises were increasing quickly), after accession to the EU, the pressure on wage increase</w:t>
      </w:r>
      <w:r w:rsidR="00542D35">
        <w:rPr>
          <w:rFonts w:ascii="Times New Roman" w:hAnsi="Times New Roman"/>
          <w:sz w:val="24"/>
          <w:szCs w:val="24"/>
        </w:rPr>
        <w:t>s</w:t>
      </w:r>
      <w:r w:rsidRPr="00AB56A1">
        <w:rPr>
          <w:rFonts w:ascii="Times New Roman" w:hAnsi="Times New Roman"/>
          <w:sz w:val="24"/>
          <w:szCs w:val="24"/>
        </w:rPr>
        <w:t xml:space="preserve"> has increased significantly, mainly as a consequence of </w:t>
      </w:r>
      <w:r w:rsidR="00542D35">
        <w:rPr>
          <w:rFonts w:ascii="Times New Roman" w:hAnsi="Times New Roman"/>
          <w:sz w:val="24"/>
          <w:szCs w:val="24"/>
        </w:rPr>
        <w:t xml:space="preserve">the </w:t>
      </w:r>
      <w:r w:rsidRPr="00AB56A1">
        <w:rPr>
          <w:rFonts w:ascii="Times New Roman" w:hAnsi="Times New Roman"/>
          <w:sz w:val="24"/>
          <w:szCs w:val="24"/>
        </w:rPr>
        <w:t xml:space="preserve">unemployment rate decrease, which is a result of </w:t>
      </w:r>
      <w:r w:rsidR="00542D35">
        <w:rPr>
          <w:rFonts w:ascii="Times New Roman" w:hAnsi="Times New Roman"/>
          <w:sz w:val="24"/>
          <w:szCs w:val="24"/>
        </w:rPr>
        <w:t xml:space="preserve">the </w:t>
      </w:r>
      <w:r w:rsidRPr="00AB56A1">
        <w:rPr>
          <w:rFonts w:ascii="Times New Roman" w:hAnsi="Times New Roman"/>
          <w:sz w:val="24"/>
          <w:szCs w:val="24"/>
        </w:rPr>
        <w:t>very fast GDP growth pace and a massive emigration of employees from Poland to EU states that opened their labour markets (at the beginning, it was only Great Britain, Ireland and Sweden) to an inflow of workforce from new EU</w:t>
      </w:r>
      <w:r w:rsidR="00542D35">
        <w:rPr>
          <w:rFonts w:ascii="Times New Roman" w:hAnsi="Times New Roman"/>
          <w:sz w:val="24"/>
          <w:szCs w:val="24"/>
        </w:rPr>
        <w:t xml:space="preserve"> </w:t>
      </w:r>
      <w:r w:rsidRPr="00AB56A1">
        <w:rPr>
          <w:rFonts w:ascii="Times New Roman" w:hAnsi="Times New Roman"/>
          <w:sz w:val="24"/>
          <w:szCs w:val="24"/>
        </w:rPr>
        <w:t>members.</w:t>
      </w:r>
    </w:p>
    <w:p w14:paraId="10A32DF6" w14:textId="51A51A2C"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The process of</w:t>
      </w:r>
      <w:r w:rsidR="00205BDB" w:rsidRPr="00AB56A1">
        <w:rPr>
          <w:rFonts w:ascii="Times New Roman" w:hAnsi="Times New Roman"/>
          <w:sz w:val="24"/>
          <w:szCs w:val="24"/>
        </w:rPr>
        <w:t xml:space="preserve"> </w:t>
      </w:r>
      <w:r w:rsidR="00542D35">
        <w:rPr>
          <w:rFonts w:ascii="Times New Roman" w:hAnsi="Times New Roman"/>
          <w:sz w:val="24"/>
          <w:szCs w:val="24"/>
        </w:rPr>
        <w:t xml:space="preserve">the </w:t>
      </w:r>
      <w:r w:rsidRPr="00AB56A1">
        <w:rPr>
          <w:rFonts w:ascii="Times New Roman" w:hAnsi="Times New Roman"/>
          <w:sz w:val="24"/>
          <w:szCs w:val="24"/>
        </w:rPr>
        <w:t>equalisation of wage levels between old and new EU</w:t>
      </w:r>
      <w:r w:rsidR="00542D35">
        <w:rPr>
          <w:rFonts w:ascii="Times New Roman" w:hAnsi="Times New Roman"/>
          <w:sz w:val="24"/>
          <w:szCs w:val="24"/>
        </w:rPr>
        <w:t xml:space="preserve"> </w:t>
      </w:r>
      <w:r w:rsidRPr="00AB56A1">
        <w:rPr>
          <w:rFonts w:ascii="Times New Roman" w:hAnsi="Times New Roman"/>
          <w:sz w:val="24"/>
          <w:szCs w:val="24"/>
        </w:rPr>
        <w:t xml:space="preserve">members will be certainly of long-term nature and basically it is determined by differences in </w:t>
      </w:r>
      <w:r w:rsidR="00542D35">
        <w:rPr>
          <w:rFonts w:ascii="Times New Roman" w:hAnsi="Times New Roman"/>
          <w:sz w:val="24"/>
          <w:szCs w:val="24"/>
        </w:rPr>
        <w:t xml:space="preserve">the </w:t>
      </w:r>
      <w:r w:rsidRPr="00AB56A1">
        <w:rPr>
          <w:rFonts w:ascii="Times New Roman" w:hAnsi="Times New Roman"/>
          <w:sz w:val="24"/>
          <w:szCs w:val="24"/>
        </w:rPr>
        <w:t>dynamics of work performance, but other factors are and will be of quite high importance too.</w:t>
      </w:r>
    </w:p>
    <w:p w14:paraId="5F26FD66" w14:textId="688DE570" w:rsidR="00916C90" w:rsidRPr="00AB56A1" w:rsidRDefault="00916C90" w:rsidP="00F5744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First and </w:t>
      </w:r>
      <w:r w:rsidR="00542D35" w:rsidRPr="00AB56A1">
        <w:rPr>
          <w:rFonts w:ascii="Times New Roman" w:hAnsi="Times New Roman"/>
          <w:sz w:val="24"/>
          <w:szCs w:val="24"/>
        </w:rPr>
        <w:t>foremost,</w:t>
      </w:r>
      <w:r w:rsidRPr="00AB56A1">
        <w:rPr>
          <w:rFonts w:ascii="Times New Roman" w:hAnsi="Times New Roman"/>
          <w:sz w:val="24"/>
          <w:szCs w:val="24"/>
        </w:rPr>
        <w:t xml:space="preserve"> we should </w:t>
      </w:r>
      <w:r w:rsidR="00542D35" w:rsidRPr="00AB56A1">
        <w:rPr>
          <w:rFonts w:ascii="Times New Roman" w:hAnsi="Times New Roman"/>
          <w:sz w:val="24"/>
          <w:szCs w:val="24"/>
        </w:rPr>
        <w:t>pa</w:t>
      </w:r>
      <w:r w:rsidR="00542D35">
        <w:rPr>
          <w:rFonts w:ascii="Times New Roman" w:hAnsi="Times New Roman"/>
          <w:sz w:val="24"/>
          <w:szCs w:val="24"/>
        </w:rPr>
        <w:t>y</w:t>
      </w:r>
      <w:r w:rsidR="00542D35" w:rsidRPr="00AB56A1">
        <w:rPr>
          <w:rFonts w:ascii="Times New Roman" w:hAnsi="Times New Roman"/>
          <w:sz w:val="24"/>
          <w:szCs w:val="24"/>
        </w:rPr>
        <w:t xml:space="preserve"> </w:t>
      </w:r>
      <w:r w:rsidRPr="00AB56A1">
        <w:rPr>
          <w:rFonts w:ascii="Times New Roman" w:hAnsi="Times New Roman"/>
          <w:sz w:val="24"/>
          <w:szCs w:val="24"/>
        </w:rPr>
        <w:t xml:space="preserve">attention to a massive migration of employees from Poland, Czech Republic or Slovakia to Great Britain or Ireland where they can get </w:t>
      </w:r>
      <w:r w:rsidR="00542D35">
        <w:rPr>
          <w:rFonts w:ascii="Times New Roman" w:hAnsi="Times New Roman"/>
          <w:sz w:val="24"/>
          <w:szCs w:val="24"/>
        </w:rPr>
        <w:t xml:space="preserve">a </w:t>
      </w:r>
      <w:r w:rsidRPr="00AB56A1">
        <w:rPr>
          <w:rFonts w:ascii="Times New Roman" w:hAnsi="Times New Roman"/>
          <w:sz w:val="24"/>
          <w:szCs w:val="24"/>
        </w:rPr>
        <w:t xml:space="preserve">much higher salary than in their respective countries. The outflow of employees (a decrease of labour supply) increases pressure on </w:t>
      </w:r>
      <w:r w:rsidR="00542D35">
        <w:rPr>
          <w:rFonts w:ascii="Times New Roman" w:hAnsi="Times New Roman"/>
          <w:sz w:val="24"/>
          <w:szCs w:val="24"/>
        </w:rPr>
        <w:t xml:space="preserve">a </w:t>
      </w:r>
      <w:r w:rsidRPr="00AB56A1">
        <w:rPr>
          <w:rFonts w:ascii="Times New Roman" w:hAnsi="Times New Roman"/>
          <w:sz w:val="24"/>
          <w:szCs w:val="24"/>
        </w:rPr>
        <w:t>wage increase in countries of origin of emigrants, and at the same time, a massive inflow of job seekers allows for maintaining low wages in countries being a destination of migration and</w:t>
      </w:r>
      <w:r w:rsidR="00542D35">
        <w:rPr>
          <w:rFonts w:ascii="Times New Roman" w:hAnsi="Times New Roman"/>
          <w:sz w:val="24"/>
          <w:szCs w:val="24"/>
        </w:rPr>
        <w:t>,</w:t>
      </w:r>
      <w:r w:rsidRPr="00AB56A1">
        <w:rPr>
          <w:rFonts w:ascii="Times New Roman" w:hAnsi="Times New Roman"/>
          <w:sz w:val="24"/>
          <w:szCs w:val="24"/>
        </w:rPr>
        <w:t xml:space="preserve"> therefore</w:t>
      </w:r>
      <w:r w:rsidR="00542D35">
        <w:rPr>
          <w:rFonts w:ascii="Times New Roman" w:hAnsi="Times New Roman"/>
          <w:sz w:val="24"/>
          <w:szCs w:val="24"/>
        </w:rPr>
        <w:t>,</w:t>
      </w:r>
      <w:r w:rsidRPr="00AB56A1">
        <w:rPr>
          <w:rFonts w:ascii="Times New Roman" w:hAnsi="Times New Roman"/>
          <w:sz w:val="24"/>
          <w:szCs w:val="24"/>
        </w:rPr>
        <w:t xml:space="preserve"> the differences in wage levels start to decrease</w:t>
      </w:r>
      <w:r w:rsidRPr="00AB56A1">
        <w:rPr>
          <w:rFonts w:ascii="Times New Roman" w:eastAsia="Times New Roman" w:hAnsi="Times New Roman" w:cs="Times New Roman"/>
          <w:sz w:val="24"/>
          <w:szCs w:val="24"/>
          <w:vertAlign w:val="superscript"/>
        </w:rPr>
        <w:footnoteReference w:id="6"/>
      </w:r>
      <w:r w:rsidRPr="00AB56A1">
        <w:rPr>
          <w:rFonts w:ascii="Times New Roman" w:hAnsi="Times New Roman"/>
          <w:sz w:val="24"/>
          <w:szCs w:val="24"/>
        </w:rPr>
        <w:t>.</w:t>
      </w:r>
    </w:p>
    <w:p w14:paraId="75D41362" w14:textId="0307F0DF"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An additional factor that contributes to </w:t>
      </w:r>
      <w:r w:rsidR="00542D35">
        <w:rPr>
          <w:rFonts w:ascii="Times New Roman" w:hAnsi="Times New Roman"/>
          <w:sz w:val="24"/>
          <w:szCs w:val="24"/>
        </w:rPr>
        <w:t>the closing</w:t>
      </w:r>
      <w:r w:rsidR="00542D35" w:rsidRPr="00AB56A1">
        <w:rPr>
          <w:rFonts w:ascii="Times New Roman" w:hAnsi="Times New Roman"/>
          <w:sz w:val="24"/>
          <w:szCs w:val="24"/>
        </w:rPr>
        <w:t xml:space="preserve"> </w:t>
      </w:r>
      <w:r w:rsidRPr="00AB56A1">
        <w:rPr>
          <w:rFonts w:ascii="Times New Roman" w:hAnsi="Times New Roman"/>
          <w:sz w:val="24"/>
          <w:szCs w:val="24"/>
        </w:rPr>
        <w:t xml:space="preserve">of the gap between wages in </w:t>
      </w:r>
      <w:r w:rsidR="00542D35">
        <w:rPr>
          <w:rFonts w:ascii="Times New Roman" w:hAnsi="Times New Roman"/>
          <w:sz w:val="24"/>
          <w:szCs w:val="24"/>
        </w:rPr>
        <w:t xml:space="preserve">the </w:t>
      </w:r>
      <w:r w:rsidRPr="00AB56A1">
        <w:rPr>
          <w:rFonts w:ascii="Times New Roman" w:hAnsi="Times New Roman"/>
          <w:sz w:val="24"/>
          <w:szCs w:val="24"/>
        </w:rPr>
        <w:t xml:space="preserve">old and new EU are capital flows - mainly in the form of direct foreign investments. Placing production </w:t>
      </w:r>
      <w:r w:rsidR="00542D35">
        <w:rPr>
          <w:rFonts w:ascii="Times New Roman" w:hAnsi="Times New Roman"/>
          <w:sz w:val="24"/>
          <w:szCs w:val="24"/>
        </w:rPr>
        <w:t>in the countries</w:t>
      </w:r>
      <w:r w:rsidRPr="00AB56A1">
        <w:rPr>
          <w:rFonts w:ascii="Times New Roman" w:hAnsi="Times New Roman"/>
          <w:sz w:val="24"/>
          <w:szCs w:val="24"/>
        </w:rPr>
        <w:t xml:space="preserve"> of new EU members increases the demand on the labour market (the pressure on wages growth increases); at the same time in economies where the capital comes from, the position of employees, who realise that their workplaces may be endangered as a </w:t>
      </w:r>
      <w:r w:rsidRPr="00AB56A1">
        <w:rPr>
          <w:rFonts w:ascii="Times New Roman" w:hAnsi="Times New Roman"/>
          <w:sz w:val="24"/>
          <w:szCs w:val="24"/>
        </w:rPr>
        <w:lastRenderedPageBreak/>
        <w:t xml:space="preserve">result of </w:t>
      </w:r>
      <w:r w:rsidR="00542D35">
        <w:rPr>
          <w:rFonts w:ascii="Times New Roman" w:hAnsi="Times New Roman"/>
          <w:sz w:val="24"/>
          <w:szCs w:val="24"/>
        </w:rPr>
        <w:t xml:space="preserve">the </w:t>
      </w:r>
      <w:r w:rsidRPr="00AB56A1">
        <w:rPr>
          <w:rFonts w:ascii="Times New Roman" w:hAnsi="Times New Roman"/>
          <w:sz w:val="24"/>
          <w:szCs w:val="24"/>
        </w:rPr>
        <w:t xml:space="preserve">relocation of production to countries with lower production costs, gets weaker (the pressure on </w:t>
      </w:r>
      <w:r w:rsidR="00542D35" w:rsidRPr="00AB56A1">
        <w:rPr>
          <w:rFonts w:ascii="Times New Roman" w:hAnsi="Times New Roman"/>
          <w:sz w:val="24"/>
          <w:szCs w:val="24"/>
        </w:rPr>
        <w:t>wag</w:t>
      </w:r>
      <w:r w:rsidR="00542D35">
        <w:rPr>
          <w:rFonts w:ascii="Times New Roman" w:hAnsi="Times New Roman"/>
          <w:sz w:val="24"/>
          <w:szCs w:val="24"/>
        </w:rPr>
        <w:t>e</w:t>
      </w:r>
      <w:r w:rsidR="00542D35" w:rsidRPr="00AB56A1">
        <w:rPr>
          <w:rFonts w:ascii="Times New Roman" w:hAnsi="Times New Roman"/>
          <w:sz w:val="24"/>
          <w:szCs w:val="24"/>
        </w:rPr>
        <w:t xml:space="preserve"> </w:t>
      </w:r>
      <w:r w:rsidRPr="00AB56A1">
        <w:rPr>
          <w:rFonts w:ascii="Times New Roman" w:hAnsi="Times New Roman"/>
          <w:sz w:val="24"/>
          <w:szCs w:val="24"/>
        </w:rPr>
        <w:t>growth decreases).</w:t>
      </w:r>
    </w:p>
    <w:p w14:paraId="63F894EE" w14:textId="670F4BE4"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To sum up, </w:t>
      </w:r>
      <w:r w:rsidR="00542D35">
        <w:rPr>
          <w:rFonts w:ascii="Times New Roman" w:hAnsi="Times New Roman"/>
          <w:sz w:val="24"/>
          <w:szCs w:val="24"/>
        </w:rPr>
        <w:t xml:space="preserve">the </w:t>
      </w:r>
      <w:r w:rsidRPr="00AB56A1">
        <w:rPr>
          <w:rFonts w:ascii="Times New Roman" w:hAnsi="Times New Roman"/>
          <w:sz w:val="24"/>
          <w:szCs w:val="24"/>
        </w:rPr>
        <w:t xml:space="preserve">strengthening of the international economic cooperation, which is certainly a purpose of </w:t>
      </w:r>
      <w:r w:rsidR="00542D35">
        <w:rPr>
          <w:rFonts w:ascii="Times New Roman" w:hAnsi="Times New Roman"/>
          <w:sz w:val="24"/>
          <w:szCs w:val="24"/>
        </w:rPr>
        <w:t xml:space="preserve">the </w:t>
      </w:r>
      <w:r w:rsidRPr="00AB56A1">
        <w:rPr>
          <w:rFonts w:ascii="Times New Roman" w:hAnsi="Times New Roman"/>
          <w:sz w:val="24"/>
          <w:szCs w:val="24"/>
        </w:rPr>
        <w:t xml:space="preserve">extension of the EU, between </w:t>
      </w:r>
      <w:r w:rsidR="00542D35">
        <w:rPr>
          <w:rFonts w:ascii="Times New Roman" w:hAnsi="Times New Roman"/>
          <w:sz w:val="24"/>
          <w:szCs w:val="24"/>
        </w:rPr>
        <w:t xml:space="preserve">the </w:t>
      </w:r>
      <w:r w:rsidRPr="00AB56A1">
        <w:rPr>
          <w:rFonts w:ascii="Times New Roman" w:hAnsi="Times New Roman"/>
          <w:sz w:val="24"/>
          <w:szCs w:val="24"/>
        </w:rPr>
        <w:t xml:space="preserve">relatively poorer and richer countries, in a long-term perspective should lead to </w:t>
      </w:r>
      <w:r w:rsidR="00542D35">
        <w:rPr>
          <w:rFonts w:ascii="Times New Roman" w:hAnsi="Times New Roman"/>
          <w:sz w:val="24"/>
          <w:szCs w:val="24"/>
        </w:rPr>
        <w:t>the closing</w:t>
      </w:r>
      <w:r w:rsidR="00542D35" w:rsidRPr="00AB56A1">
        <w:rPr>
          <w:rFonts w:ascii="Times New Roman" w:hAnsi="Times New Roman"/>
          <w:sz w:val="24"/>
          <w:szCs w:val="24"/>
        </w:rPr>
        <w:t xml:space="preserve"> </w:t>
      </w:r>
      <w:r w:rsidRPr="00AB56A1">
        <w:rPr>
          <w:rFonts w:ascii="Times New Roman" w:hAnsi="Times New Roman"/>
          <w:sz w:val="24"/>
          <w:szCs w:val="24"/>
        </w:rPr>
        <w:t xml:space="preserve">of </w:t>
      </w:r>
      <w:r w:rsidR="00542D35">
        <w:rPr>
          <w:rFonts w:ascii="Times New Roman" w:hAnsi="Times New Roman"/>
          <w:sz w:val="24"/>
          <w:szCs w:val="24"/>
        </w:rPr>
        <w:t xml:space="preserve">the </w:t>
      </w:r>
      <w:r w:rsidRPr="00AB56A1">
        <w:rPr>
          <w:rFonts w:ascii="Times New Roman" w:hAnsi="Times New Roman"/>
          <w:sz w:val="24"/>
          <w:szCs w:val="24"/>
        </w:rPr>
        <w:t xml:space="preserve">development gap (visible as a difference in </w:t>
      </w:r>
      <w:r w:rsidR="00542D35">
        <w:rPr>
          <w:rFonts w:ascii="Times New Roman" w:hAnsi="Times New Roman"/>
          <w:sz w:val="24"/>
          <w:szCs w:val="24"/>
        </w:rPr>
        <w:t xml:space="preserve">the </w:t>
      </w:r>
      <w:r w:rsidRPr="00AB56A1">
        <w:rPr>
          <w:rFonts w:ascii="Times New Roman" w:hAnsi="Times New Roman"/>
          <w:sz w:val="24"/>
          <w:szCs w:val="24"/>
        </w:rPr>
        <w:t>GDP levels PKB p.c. and labour performance indexes) and</w:t>
      </w:r>
      <w:r w:rsidR="00542D35">
        <w:rPr>
          <w:rFonts w:ascii="Times New Roman" w:hAnsi="Times New Roman"/>
          <w:sz w:val="24"/>
          <w:szCs w:val="24"/>
        </w:rPr>
        <w:t>,</w:t>
      </w:r>
      <w:r w:rsidRPr="00AB56A1">
        <w:rPr>
          <w:rFonts w:ascii="Times New Roman" w:hAnsi="Times New Roman"/>
          <w:sz w:val="24"/>
          <w:szCs w:val="24"/>
        </w:rPr>
        <w:t xml:space="preserve"> therefore</w:t>
      </w:r>
      <w:r w:rsidR="00542D35">
        <w:rPr>
          <w:rFonts w:ascii="Times New Roman" w:hAnsi="Times New Roman"/>
          <w:sz w:val="24"/>
          <w:szCs w:val="24"/>
        </w:rPr>
        <w:t>,</w:t>
      </w:r>
      <w:r w:rsidRPr="00AB56A1">
        <w:rPr>
          <w:rFonts w:ascii="Times New Roman" w:hAnsi="Times New Roman"/>
          <w:sz w:val="24"/>
          <w:szCs w:val="24"/>
        </w:rPr>
        <w:t xml:space="preserve"> the differences in average incomes achieved in </w:t>
      </w:r>
      <w:r w:rsidR="00542D35">
        <w:rPr>
          <w:rFonts w:ascii="Times New Roman" w:hAnsi="Times New Roman"/>
          <w:sz w:val="24"/>
          <w:szCs w:val="24"/>
        </w:rPr>
        <w:t xml:space="preserve">the </w:t>
      </w:r>
      <w:r w:rsidRPr="00AB56A1">
        <w:rPr>
          <w:rFonts w:ascii="Times New Roman" w:hAnsi="Times New Roman"/>
          <w:sz w:val="24"/>
          <w:szCs w:val="24"/>
        </w:rPr>
        <w:t xml:space="preserve">economies of </w:t>
      </w:r>
      <w:r w:rsidR="00542D35">
        <w:rPr>
          <w:rFonts w:ascii="Times New Roman" w:hAnsi="Times New Roman"/>
          <w:sz w:val="24"/>
          <w:szCs w:val="24"/>
        </w:rPr>
        <w:t xml:space="preserve">the </w:t>
      </w:r>
      <w:r w:rsidRPr="00AB56A1">
        <w:rPr>
          <w:rFonts w:ascii="Times New Roman" w:hAnsi="Times New Roman"/>
          <w:sz w:val="24"/>
          <w:szCs w:val="24"/>
        </w:rPr>
        <w:t xml:space="preserve">new and old EU members will be decreasing. </w:t>
      </w:r>
    </w:p>
    <w:p w14:paraId="527651E4" w14:textId="50DF48C3"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It is</w:t>
      </w:r>
      <w:r w:rsidR="00542D35">
        <w:rPr>
          <w:rFonts w:ascii="Times New Roman" w:hAnsi="Times New Roman"/>
          <w:sz w:val="24"/>
          <w:szCs w:val="24"/>
        </w:rPr>
        <w:t>,</w:t>
      </w:r>
      <w:r w:rsidRPr="00AB56A1">
        <w:rPr>
          <w:rFonts w:ascii="Times New Roman" w:hAnsi="Times New Roman"/>
          <w:sz w:val="24"/>
          <w:szCs w:val="24"/>
        </w:rPr>
        <w:t xml:space="preserve"> therefore</w:t>
      </w:r>
      <w:r w:rsidR="00542D35">
        <w:rPr>
          <w:rFonts w:ascii="Times New Roman" w:hAnsi="Times New Roman"/>
          <w:sz w:val="24"/>
          <w:szCs w:val="24"/>
        </w:rPr>
        <w:t>,</w:t>
      </w:r>
      <w:r w:rsidRPr="00AB56A1">
        <w:rPr>
          <w:rFonts w:ascii="Times New Roman" w:hAnsi="Times New Roman"/>
          <w:sz w:val="24"/>
          <w:szCs w:val="24"/>
        </w:rPr>
        <w:t xml:space="preserve"> appropriate to assume that a part of </w:t>
      </w:r>
      <w:r w:rsidR="00542D35">
        <w:rPr>
          <w:rFonts w:ascii="Times New Roman" w:hAnsi="Times New Roman"/>
          <w:sz w:val="24"/>
          <w:szCs w:val="24"/>
        </w:rPr>
        <w:t xml:space="preserve">the </w:t>
      </w:r>
      <w:r w:rsidRPr="00AB56A1">
        <w:rPr>
          <w:rFonts w:ascii="Times New Roman" w:hAnsi="Times New Roman"/>
          <w:sz w:val="24"/>
          <w:szCs w:val="24"/>
        </w:rPr>
        <w:t xml:space="preserve">acceleration of economic growth pace in new, poorer EU countries will be executed at the expense of </w:t>
      </w:r>
      <w:r w:rsidR="00542D35">
        <w:rPr>
          <w:rFonts w:ascii="Times New Roman" w:hAnsi="Times New Roman"/>
          <w:sz w:val="24"/>
          <w:szCs w:val="24"/>
        </w:rPr>
        <w:t xml:space="preserve">the </w:t>
      </w:r>
      <w:r w:rsidRPr="00AB56A1">
        <w:rPr>
          <w:rFonts w:ascii="Times New Roman" w:hAnsi="Times New Roman"/>
          <w:sz w:val="24"/>
          <w:szCs w:val="24"/>
        </w:rPr>
        <w:t xml:space="preserve">decrease of economic dynamics in </w:t>
      </w:r>
      <w:r w:rsidR="00542D35">
        <w:rPr>
          <w:rFonts w:ascii="Times New Roman" w:hAnsi="Times New Roman"/>
          <w:sz w:val="24"/>
          <w:szCs w:val="24"/>
        </w:rPr>
        <w:t xml:space="preserve">the </w:t>
      </w:r>
      <w:r w:rsidRPr="00AB56A1">
        <w:rPr>
          <w:rFonts w:ascii="Times New Roman" w:hAnsi="Times New Roman"/>
          <w:sz w:val="24"/>
          <w:szCs w:val="24"/>
        </w:rPr>
        <w:t>economies of the most developed EU members. An argument to justify this thesis may be</w:t>
      </w:r>
      <w:r w:rsidR="00542D35">
        <w:rPr>
          <w:rFonts w:ascii="Times New Roman" w:hAnsi="Times New Roman"/>
          <w:sz w:val="24"/>
          <w:szCs w:val="24"/>
        </w:rPr>
        <w:t>,</w:t>
      </w:r>
      <w:r w:rsidRPr="00AB56A1">
        <w:rPr>
          <w:rFonts w:ascii="Times New Roman" w:hAnsi="Times New Roman"/>
          <w:sz w:val="24"/>
          <w:szCs w:val="24"/>
        </w:rPr>
        <w:t xml:space="preserve"> for instance</w:t>
      </w:r>
      <w:r w:rsidR="00542D35">
        <w:rPr>
          <w:rFonts w:ascii="Times New Roman" w:hAnsi="Times New Roman"/>
          <w:sz w:val="24"/>
          <w:szCs w:val="24"/>
        </w:rPr>
        <w:t>,</w:t>
      </w:r>
      <w:r w:rsidRPr="00AB56A1">
        <w:rPr>
          <w:rFonts w:ascii="Times New Roman" w:hAnsi="Times New Roman"/>
          <w:sz w:val="24"/>
          <w:szCs w:val="24"/>
        </w:rPr>
        <w:t xml:space="preserve"> a displacement of domestic production in rich countries by an export of relatively cheaper goods manufactured in Central and Eastern Europe or relocation of a part of production to Poland, Romania or Slovakia, where production costs (mainly in terms of salaries) are much lower than in Germany or France.</w:t>
      </w:r>
    </w:p>
    <w:p w14:paraId="20307318" w14:textId="20F74000"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Another channel that may contribute to </w:t>
      </w:r>
      <w:r w:rsidR="005747AD">
        <w:rPr>
          <w:rFonts w:ascii="Times New Roman" w:hAnsi="Times New Roman"/>
          <w:sz w:val="24"/>
          <w:szCs w:val="24"/>
        </w:rPr>
        <w:t xml:space="preserve">the </w:t>
      </w:r>
      <w:r w:rsidRPr="00AB56A1">
        <w:rPr>
          <w:rFonts w:ascii="Times New Roman" w:hAnsi="Times New Roman"/>
          <w:sz w:val="24"/>
          <w:szCs w:val="24"/>
        </w:rPr>
        <w:t>differentiation of economic growth pace between specific EU members is the income redistribution mechanism, i.e. the budget of the Community. The main payers to the EU budget are the richest countries, while new members may count on relatively high funds in the framework of structural funds and cohesion fund</w:t>
      </w:r>
      <w:r w:rsidR="00DE7992">
        <w:rPr>
          <w:rFonts w:ascii="Times New Roman" w:hAnsi="Times New Roman"/>
          <w:sz w:val="24"/>
          <w:szCs w:val="24"/>
        </w:rPr>
        <w:t>s</w:t>
      </w:r>
      <w:r w:rsidRPr="00AB56A1">
        <w:rPr>
          <w:rFonts w:ascii="Times New Roman" w:hAnsi="Times New Roman"/>
          <w:sz w:val="24"/>
          <w:szCs w:val="24"/>
        </w:rPr>
        <w:t xml:space="preserve">. Of course, a high, positive impact of European funds on </w:t>
      </w:r>
      <w:r w:rsidR="00DE7992">
        <w:rPr>
          <w:rFonts w:ascii="Times New Roman" w:hAnsi="Times New Roman"/>
          <w:sz w:val="24"/>
          <w:szCs w:val="24"/>
        </w:rPr>
        <w:t xml:space="preserve">the </w:t>
      </w:r>
      <w:r w:rsidRPr="00AB56A1">
        <w:rPr>
          <w:rFonts w:ascii="Times New Roman" w:hAnsi="Times New Roman"/>
          <w:sz w:val="24"/>
          <w:szCs w:val="24"/>
        </w:rPr>
        <w:t xml:space="preserve">acceleration of </w:t>
      </w:r>
      <w:r w:rsidR="00DE7992">
        <w:rPr>
          <w:rFonts w:ascii="Times New Roman" w:hAnsi="Times New Roman"/>
          <w:sz w:val="24"/>
          <w:szCs w:val="24"/>
        </w:rPr>
        <w:t xml:space="preserve">the </w:t>
      </w:r>
      <w:r w:rsidRPr="00AB56A1">
        <w:rPr>
          <w:rFonts w:ascii="Times New Roman" w:hAnsi="Times New Roman"/>
          <w:sz w:val="24"/>
          <w:szCs w:val="24"/>
        </w:rPr>
        <w:t>economic growth pace in new member states is not decided in advance, since much depends on</w:t>
      </w:r>
      <w:r w:rsidR="00DE7992">
        <w:rPr>
          <w:rFonts w:ascii="Times New Roman" w:hAnsi="Times New Roman"/>
          <w:sz w:val="24"/>
          <w:szCs w:val="24"/>
        </w:rPr>
        <w:t>,</w:t>
      </w:r>
      <w:r w:rsidRPr="00AB56A1">
        <w:rPr>
          <w:rFonts w:ascii="Times New Roman" w:hAnsi="Times New Roman"/>
          <w:sz w:val="24"/>
          <w:szCs w:val="24"/>
        </w:rPr>
        <w:t xml:space="preserve"> for example</w:t>
      </w:r>
      <w:r w:rsidR="00DE7992">
        <w:rPr>
          <w:rFonts w:ascii="Times New Roman" w:hAnsi="Times New Roman"/>
          <w:sz w:val="24"/>
          <w:szCs w:val="24"/>
        </w:rPr>
        <w:t>,</w:t>
      </w:r>
      <w:r w:rsidRPr="00AB56A1">
        <w:rPr>
          <w:rFonts w:ascii="Times New Roman" w:hAnsi="Times New Roman"/>
          <w:sz w:val="24"/>
          <w:szCs w:val="24"/>
        </w:rPr>
        <w:t xml:space="preserve"> so-called ‘absorption capacities’ and most of all on </w:t>
      </w:r>
      <w:r w:rsidR="00DE7992">
        <w:rPr>
          <w:rFonts w:ascii="Times New Roman" w:hAnsi="Times New Roman"/>
          <w:sz w:val="24"/>
          <w:szCs w:val="24"/>
        </w:rPr>
        <w:t xml:space="preserve">the </w:t>
      </w:r>
      <w:r w:rsidRPr="00AB56A1">
        <w:rPr>
          <w:rFonts w:ascii="Times New Roman" w:hAnsi="Times New Roman"/>
          <w:sz w:val="24"/>
          <w:szCs w:val="24"/>
        </w:rPr>
        <w:t>allocation of resources for particular purposes that to a larger or smaller extent enhance the economic growth in a given country, but without a doubt the possibility to benefit from significant funds from the EU budget improves development perspectives</w:t>
      </w:r>
      <w:r w:rsidR="00DE7992">
        <w:rPr>
          <w:rFonts w:ascii="Times New Roman" w:hAnsi="Times New Roman"/>
          <w:sz w:val="24"/>
          <w:szCs w:val="24"/>
        </w:rPr>
        <w:t>,</w:t>
      </w:r>
      <w:r w:rsidRPr="00AB56A1">
        <w:rPr>
          <w:rFonts w:ascii="Times New Roman" w:hAnsi="Times New Roman"/>
          <w:sz w:val="24"/>
          <w:szCs w:val="24"/>
        </w:rPr>
        <w:t xml:space="preserve"> </w:t>
      </w:r>
      <w:r w:rsidR="00DE7992">
        <w:rPr>
          <w:rFonts w:ascii="Times New Roman" w:hAnsi="Times New Roman"/>
          <w:sz w:val="24"/>
          <w:szCs w:val="24"/>
        </w:rPr>
        <w:t>e.g.</w:t>
      </w:r>
      <w:r w:rsidRPr="00AB56A1">
        <w:rPr>
          <w:rFonts w:ascii="Times New Roman" w:hAnsi="Times New Roman"/>
          <w:sz w:val="24"/>
          <w:szCs w:val="24"/>
        </w:rPr>
        <w:t xml:space="preserve"> by catching up </w:t>
      </w:r>
      <w:r w:rsidR="00DE7992">
        <w:rPr>
          <w:rFonts w:ascii="Times New Roman" w:hAnsi="Times New Roman"/>
          <w:sz w:val="24"/>
          <w:szCs w:val="24"/>
        </w:rPr>
        <w:t xml:space="preserve">on </w:t>
      </w:r>
      <w:r w:rsidRPr="00AB56A1">
        <w:rPr>
          <w:rFonts w:ascii="Times New Roman" w:hAnsi="Times New Roman"/>
          <w:sz w:val="24"/>
          <w:szCs w:val="24"/>
        </w:rPr>
        <w:t>the backlogs in technical infrastructure.</w:t>
      </w:r>
    </w:p>
    <w:p w14:paraId="7DBC1C55"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p>
    <w:p w14:paraId="3497E70F" w14:textId="77777777" w:rsidR="00916C90" w:rsidRPr="00AB56A1" w:rsidRDefault="00916C90" w:rsidP="00AB05A6">
      <w:pPr>
        <w:spacing w:after="0" w:line="360" w:lineRule="auto"/>
        <w:ind w:firstLine="708"/>
        <w:jc w:val="both"/>
        <w:rPr>
          <w:rFonts w:ascii="Times New Roman" w:eastAsia="Times New Roman" w:hAnsi="Times New Roman" w:cs="Times New Roman"/>
          <w:b/>
          <w:sz w:val="24"/>
          <w:szCs w:val="24"/>
        </w:rPr>
      </w:pPr>
      <w:r w:rsidRPr="00AB56A1">
        <w:rPr>
          <w:rFonts w:ascii="Times New Roman" w:hAnsi="Times New Roman"/>
          <w:b/>
          <w:sz w:val="24"/>
          <w:szCs w:val="24"/>
        </w:rPr>
        <w:t>Income distribution among new EU members</w:t>
      </w:r>
    </w:p>
    <w:p w14:paraId="4287FFCB"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p>
    <w:p w14:paraId="766CE450" w14:textId="4D09F5B2" w:rsidR="00916C90" w:rsidRDefault="00916C90" w:rsidP="00AB05A6">
      <w:pPr>
        <w:spacing w:after="0" w:line="360" w:lineRule="auto"/>
        <w:ind w:firstLine="708"/>
        <w:jc w:val="both"/>
        <w:rPr>
          <w:rFonts w:ascii="Times New Roman" w:hAnsi="Times New Roman"/>
          <w:sz w:val="24"/>
          <w:szCs w:val="24"/>
        </w:rPr>
      </w:pPr>
      <w:r w:rsidRPr="00AB56A1">
        <w:rPr>
          <w:rFonts w:ascii="Times New Roman" w:hAnsi="Times New Roman"/>
          <w:sz w:val="24"/>
          <w:szCs w:val="24"/>
        </w:rPr>
        <w:t>The impact of the European integration on income distribution should be particularly visible in such case</w:t>
      </w:r>
      <w:r w:rsidR="00DE7992">
        <w:rPr>
          <w:rFonts w:ascii="Times New Roman" w:hAnsi="Times New Roman"/>
          <w:sz w:val="24"/>
          <w:szCs w:val="24"/>
        </w:rPr>
        <w:t>s</w:t>
      </w:r>
      <w:r w:rsidRPr="00AB56A1">
        <w:rPr>
          <w:rFonts w:ascii="Times New Roman" w:hAnsi="Times New Roman"/>
          <w:sz w:val="24"/>
          <w:szCs w:val="24"/>
        </w:rPr>
        <w:t xml:space="preserve"> of </w:t>
      </w:r>
      <w:r w:rsidR="00DE7992">
        <w:rPr>
          <w:rFonts w:ascii="Times New Roman" w:hAnsi="Times New Roman"/>
          <w:sz w:val="24"/>
          <w:szCs w:val="24"/>
        </w:rPr>
        <w:t xml:space="preserve">the </w:t>
      </w:r>
      <w:r w:rsidRPr="00AB56A1">
        <w:rPr>
          <w:rFonts w:ascii="Times New Roman" w:hAnsi="Times New Roman"/>
          <w:sz w:val="24"/>
          <w:szCs w:val="24"/>
        </w:rPr>
        <w:t>accession of Poland or Slovakia, i.e. a situation when a relatively poor country joins the group of richer states.</w:t>
      </w:r>
    </w:p>
    <w:p w14:paraId="12239897" w14:textId="77777777" w:rsidR="00F57446" w:rsidRPr="00AB56A1" w:rsidRDefault="00F57446" w:rsidP="00AB05A6">
      <w:pPr>
        <w:spacing w:after="0" w:line="360" w:lineRule="auto"/>
        <w:ind w:firstLine="708"/>
        <w:jc w:val="both"/>
        <w:rPr>
          <w:rFonts w:ascii="Times New Roman" w:eastAsia="Times New Roman" w:hAnsi="Times New Roman" w:cs="Times New Roman"/>
          <w:sz w:val="24"/>
          <w:szCs w:val="24"/>
        </w:rPr>
      </w:pPr>
    </w:p>
    <w:p w14:paraId="214A54F5" w14:textId="485F0DB3" w:rsidR="00916C90" w:rsidRPr="00AB56A1" w:rsidRDefault="00916C90" w:rsidP="00AB05A6">
      <w:pPr>
        <w:spacing w:after="0" w:line="360" w:lineRule="auto"/>
        <w:jc w:val="both"/>
        <w:rPr>
          <w:rFonts w:ascii="Times New Roman" w:eastAsia="Times New Roman" w:hAnsi="Times New Roman" w:cs="Times New Roman"/>
          <w:b/>
          <w:sz w:val="24"/>
          <w:szCs w:val="24"/>
        </w:rPr>
      </w:pPr>
      <w:r w:rsidRPr="00AB56A1">
        <w:rPr>
          <w:rFonts w:ascii="Times New Roman" w:hAnsi="Times New Roman"/>
          <w:b/>
          <w:sz w:val="24"/>
          <w:szCs w:val="24"/>
        </w:rPr>
        <w:t>Table 12. Income distribution (Gini) in Central European countries, EU</w:t>
      </w:r>
      <w:r w:rsidR="00DE7992">
        <w:rPr>
          <w:rFonts w:ascii="Times New Roman" w:hAnsi="Times New Roman"/>
          <w:b/>
          <w:sz w:val="24"/>
          <w:szCs w:val="24"/>
        </w:rPr>
        <w:t xml:space="preserve"> </w:t>
      </w:r>
      <w:r w:rsidRPr="00AB56A1">
        <w:rPr>
          <w:rFonts w:ascii="Times New Roman" w:hAnsi="Times New Roman"/>
          <w:b/>
          <w:sz w:val="24"/>
          <w:szCs w:val="24"/>
        </w:rPr>
        <w:t>members from 2004 to 2014</w:t>
      </w:r>
    </w:p>
    <w:tbl>
      <w:tblPr>
        <w:tblW w:w="7700" w:type="dxa"/>
        <w:tblInd w:w="-5" w:type="dxa"/>
        <w:tblCellMar>
          <w:left w:w="70" w:type="dxa"/>
          <w:right w:w="70" w:type="dxa"/>
        </w:tblCellMar>
        <w:tblLook w:val="04A0" w:firstRow="1" w:lastRow="0" w:firstColumn="1" w:lastColumn="0" w:noHBand="0" w:noVBand="1"/>
      </w:tblPr>
      <w:tblGrid>
        <w:gridCol w:w="1560"/>
        <w:gridCol w:w="585"/>
        <w:gridCol w:w="620"/>
        <w:gridCol w:w="600"/>
        <w:gridCol w:w="600"/>
        <w:gridCol w:w="600"/>
        <w:gridCol w:w="585"/>
        <w:gridCol w:w="585"/>
        <w:gridCol w:w="600"/>
        <w:gridCol w:w="585"/>
        <w:gridCol w:w="600"/>
        <w:gridCol w:w="585"/>
      </w:tblGrid>
      <w:tr w:rsidR="00916C90" w:rsidRPr="00AB56A1" w14:paraId="4788D1D0" w14:textId="77777777" w:rsidTr="00E51609">
        <w:trPr>
          <w:trHeight w:val="280"/>
        </w:trPr>
        <w:tc>
          <w:tcPr>
            <w:tcW w:w="1560" w:type="dxa"/>
            <w:tcBorders>
              <w:top w:val="single" w:sz="4" w:space="0" w:color="000000"/>
              <w:left w:val="single" w:sz="4" w:space="0" w:color="000000"/>
              <w:bottom w:val="single" w:sz="4" w:space="0" w:color="000000"/>
              <w:right w:val="single" w:sz="4" w:space="0" w:color="000000"/>
            </w:tcBorders>
            <w:shd w:val="clear" w:color="000000" w:fill="99CCFF"/>
            <w:noWrap/>
            <w:vAlign w:val="bottom"/>
            <w:hideMark/>
          </w:tcPr>
          <w:p w14:paraId="3BA9FAD8"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lastRenderedPageBreak/>
              <w:t>Country, year</w:t>
            </w:r>
          </w:p>
        </w:tc>
        <w:tc>
          <w:tcPr>
            <w:tcW w:w="180" w:type="dxa"/>
            <w:tcBorders>
              <w:top w:val="single" w:sz="4" w:space="0" w:color="000000"/>
              <w:left w:val="nil"/>
              <w:bottom w:val="single" w:sz="4" w:space="0" w:color="000000"/>
              <w:right w:val="single" w:sz="4" w:space="0" w:color="000000"/>
            </w:tcBorders>
            <w:shd w:val="clear" w:color="000000" w:fill="99CCFF"/>
            <w:noWrap/>
            <w:vAlign w:val="bottom"/>
            <w:hideMark/>
          </w:tcPr>
          <w:p w14:paraId="0309010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2004</w:t>
            </w:r>
          </w:p>
        </w:tc>
        <w:tc>
          <w:tcPr>
            <w:tcW w:w="620" w:type="dxa"/>
            <w:tcBorders>
              <w:top w:val="single" w:sz="4" w:space="0" w:color="000000"/>
              <w:left w:val="nil"/>
              <w:bottom w:val="single" w:sz="4" w:space="0" w:color="000000"/>
              <w:right w:val="single" w:sz="4" w:space="0" w:color="000000"/>
            </w:tcBorders>
            <w:shd w:val="clear" w:color="000000" w:fill="99CCFF"/>
            <w:noWrap/>
            <w:vAlign w:val="bottom"/>
            <w:hideMark/>
          </w:tcPr>
          <w:p w14:paraId="0B78DA6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2005</w:t>
            </w:r>
          </w:p>
        </w:tc>
        <w:tc>
          <w:tcPr>
            <w:tcW w:w="600" w:type="dxa"/>
            <w:tcBorders>
              <w:top w:val="single" w:sz="4" w:space="0" w:color="000000"/>
              <w:left w:val="nil"/>
              <w:bottom w:val="single" w:sz="4" w:space="0" w:color="000000"/>
              <w:right w:val="single" w:sz="4" w:space="0" w:color="000000"/>
            </w:tcBorders>
            <w:shd w:val="clear" w:color="000000" w:fill="99CCFF"/>
            <w:noWrap/>
            <w:vAlign w:val="bottom"/>
            <w:hideMark/>
          </w:tcPr>
          <w:p w14:paraId="365FAD76"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2006</w:t>
            </w:r>
          </w:p>
        </w:tc>
        <w:tc>
          <w:tcPr>
            <w:tcW w:w="600" w:type="dxa"/>
            <w:tcBorders>
              <w:top w:val="single" w:sz="4" w:space="0" w:color="000000"/>
              <w:left w:val="nil"/>
              <w:bottom w:val="single" w:sz="4" w:space="0" w:color="000000"/>
              <w:right w:val="single" w:sz="4" w:space="0" w:color="000000"/>
            </w:tcBorders>
            <w:shd w:val="clear" w:color="000000" w:fill="99CCFF"/>
            <w:noWrap/>
            <w:vAlign w:val="bottom"/>
            <w:hideMark/>
          </w:tcPr>
          <w:p w14:paraId="0F8E64FF"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2007</w:t>
            </w:r>
          </w:p>
        </w:tc>
        <w:tc>
          <w:tcPr>
            <w:tcW w:w="600" w:type="dxa"/>
            <w:tcBorders>
              <w:top w:val="single" w:sz="4" w:space="0" w:color="000000"/>
              <w:left w:val="nil"/>
              <w:bottom w:val="single" w:sz="4" w:space="0" w:color="000000"/>
              <w:right w:val="single" w:sz="4" w:space="0" w:color="000000"/>
            </w:tcBorders>
            <w:shd w:val="clear" w:color="000000" w:fill="99CCFF"/>
            <w:noWrap/>
            <w:vAlign w:val="bottom"/>
            <w:hideMark/>
          </w:tcPr>
          <w:p w14:paraId="64C54CB9"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2008</w:t>
            </w:r>
          </w:p>
        </w:tc>
        <w:tc>
          <w:tcPr>
            <w:tcW w:w="585" w:type="dxa"/>
            <w:tcBorders>
              <w:top w:val="single" w:sz="4" w:space="0" w:color="000000"/>
              <w:left w:val="nil"/>
              <w:bottom w:val="single" w:sz="4" w:space="0" w:color="000000"/>
              <w:right w:val="single" w:sz="4" w:space="0" w:color="000000"/>
            </w:tcBorders>
            <w:shd w:val="clear" w:color="000000" w:fill="99CCFF"/>
            <w:noWrap/>
            <w:vAlign w:val="bottom"/>
            <w:hideMark/>
          </w:tcPr>
          <w:p w14:paraId="001D36FE"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2009</w:t>
            </w:r>
          </w:p>
        </w:tc>
        <w:tc>
          <w:tcPr>
            <w:tcW w:w="585" w:type="dxa"/>
            <w:tcBorders>
              <w:top w:val="single" w:sz="4" w:space="0" w:color="000000"/>
              <w:left w:val="nil"/>
              <w:bottom w:val="single" w:sz="4" w:space="0" w:color="000000"/>
              <w:right w:val="single" w:sz="4" w:space="0" w:color="000000"/>
            </w:tcBorders>
            <w:shd w:val="clear" w:color="000000" w:fill="99CCFF"/>
            <w:noWrap/>
            <w:vAlign w:val="bottom"/>
            <w:hideMark/>
          </w:tcPr>
          <w:p w14:paraId="7BD36352"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2010</w:t>
            </w:r>
          </w:p>
        </w:tc>
        <w:tc>
          <w:tcPr>
            <w:tcW w:w="600" w:type="dxa"/>
            <w:tcBorders>
              <w:top w:val="single" w:sz="4" w:space="0" w:color="000000"/>
              <w:left w:val="nil"/>
              <w:bottom w:val="single" w:sz="4" w:space="0" w:color="000000"/>
              <w:right w:val="single" w:sz="4" w:space="0" w:color="000000"/>
            </w:tcBorders>
            <w:shd w:val="clear" w:color="000000" w:fill="99CCFF"/>
            <w:noWrap/>
            <w:vAlign w:val="bottom"/>
            <w:hideMark/>
          </w:tcPr>
          <w:p w14:paraId="779631B4"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2011</w:t>
            </w:r>
          </w:p>
        </w:tc>
        <w:tc>
          <w:tcPr>
            <w:tcW w:w="585" w:type="dxa"/>
            <w:tcBorders>
              <w:top w:val="single" w:sz="4" w:space="0" w:color="000000"/>
              <w:left w:val="nil"/>
              <w:bottom w:val="single" w:sz="4" w:space="0" w:color="000000"/>
              <w:right w:val="single" w:sz="4" w:space="0" w:color="000000"/>
            </w:tcBorders>
            <w:shd w:val="clear" w:color="000000" w:fill="99CCFF"/>
            <w:noWrap/>
            <w:vAlign w:val="bottom"/>
            <w:hideMark/>
          </w:tcPr>
          <w:p w14:paraId="57FDCACA"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2012</w:t>
            </w:r>
          </w:p>
        </w:tc>
        <w:tc>
          <w:tcPr>
            <w:tcW w:w="600" w:type="dxa"/>
            <w:tcBorders>
              <w:top w:val="single" w:sz="4" w:space="0" w:color="000000"/>
              <w:left w:val="nil"/>
              <w:bottom w:val="single" w:sz="4" w:space="0" w:color="000000"/>
              <w:right w:val="single" w:sz="4" w:space="0" w:color="000000"/>
            </w:tcBorders>
            <w:shd w:val="clear" w:color="000000" w:fill="99CCFF"/>
            <w:noWrap/>
            <w:vAlign w:val="bottom"/>
            <w:hideMark/>
          </w:tcPr>
          <w:p w14:paraId="3E597FB9"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2013</w:t>
            </w:r>
          </w:p>
        </w:tc>
        <w:tc>
          <w:tcPr>
            <w:tcW w:w="585" w:type="dxa"/>
            <w:tcBorders>
              <w:top w:val="single" w:sz="4" w:space="0" w:color="000000"/>
              <w:left w:val="nil"/>
              <w:bottom w:val="single" w:sz="4" w:space="0" w:color="000000"/>
              <w:right w:val="single" w:sz="4" w:space="0" w:color="000000"/>
            </w:tcBorders>
            <w:shd w:val="clear" w:color="000000" w:fill="99CCFF"/>
            <w:noWrap/>
            <w:vAlign w:val="bottom"/>
            <w:hideMark/>
          </w:tcPr>
          <w:p w14:paraId="0A85BBF8"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2014</w:t>
            </w:r>
          </w:p>
        </w:tc>
      </w:tr>
      <w:tr w:rsidR="00916C90" w:rsidRPr="00AB56A1" w14:paraId="120B127A"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66E605A8"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Bulgaria</w:t>
            </w:r>
          </w:p>
        </w:tc>
        <w:tc>
          <w:tcPr>
            <w:tcW w:w="180" w:type="dxa"/>
            <w:tcBorders>
              <w:top w:val="nil"/>
              <w:left w:val="nil"/>
              <w:bottom w:val="single" w:sz="8" w:space="0" w:color="auto"/>
              <w:right w:val="single" w:sz="8" w:space="0" w:color="auto"/>
            </w:tcBorders>
            <w:shd w:val="clear" w:color="auto" w:fill="auto"/>
            <w:noWrap/>
            <w:vAlign w:val="center"/>
            <w:hideMark/>
          </w:tcPr>
          <w:p w14:paraId="2173E9D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26</w:t>
            </w:r>
          </w:p>
        </w:tc>
        <w:tc>
          <w:tcPr>
            <w:tcW w:w="620" w:type="dxa"/>
            <w:tcBorders>
              <w:top w:val="nil"/>
              <w:left w:val="nil"/>
              <w:bottom w:val="single" w:sz="8" w:space="0" w:color="auto"/>
              <w:right w:val="single" w:sz="8" w:space="0" w:color="auto"/>
            </w:tcBorders>
            <w:shd w:val="clear" w:color="auto" w:fill="auto"/>
            <w:noWrap/>
            <w:vAlign w:val="center"/>
            <w:hideMark/>
          </w:tcPr>
          <w:p w14:paraId="76DF38A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6C8CF3B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31.2</w:t>
            </w:r>
          </w:p>
        </w:tc>
        <w:tc>
          <w:tcPr>
            <w:tcW w:w="600" w:type="dxa"/>
            <w:tcBorders>
              <w:top w:val="nil"/>
              <w:left w:val="nil"/>
              <w:bottom w:val="single" w:sz="4" w:space="0" w:color="000000"/>
              <w:right w:val="single" w:sz="4" w:space="0" w:color="000000"/>
            </w:tcBorders>
            <w:shd w:val="clear" w:color="auto" w:fill="auto"/>
            <w:noWrap/>
            <w:vAlign w:val="bottom"/>
            <w:hideMark/>
          </w:tcPr>
          <w:p w14:paraId="766EDBB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35.3</w:t>
            </w:r>
          </w:p>
        </w:tc>
        <w:tc>
          <w:tcPr>
            <w:tcW w:w="600" w:type="dxa"/>
            <w:tcBorders>
              <w:top w:val="nil"/>
              <w:left w:val="nil"/>
              <w:bottom w:val="single" w:sz="4" w:space="0" w:color="000000"/>
              <w:right w:val="single" w:sz="4" w:space="0" w:color="000000"/>
            </w:tcBorders>
            <w:shd w:val="clear" w:color="auto" w:fill="auto"/>
            <w:noWrap/>
            <w:vAlign w:val="bottom"/>
            <w:hideMark/>
          </w:tcPr>
          <w:p w14:paraId="15EF0D4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35.9</w:t>
            </w:r>
          </w:p>
        </w:tc>
        <w:tc>
          <w:tcPr>
            <w:tcW w:w="585" w:type="dxa"/>
            <w:tcBorders>
              <w:top w:val="nil"/>
              <w:left w:val="nil"/>
              <w:bottom w:val="single" w:sz="4" w:space="0" w:color="000000"/>
              <w:right w:val="single" w:sz="4" w:space="0" w:color="000000"/>
            </w:tcBorders>
            <w:shd w:val="clear" w:color="auto" w:fill="auto"/>
            <w:noWrap/>
            <w:vAlign w:val="bottom"/>
            <w:hideMark/>
          </w:tcPr>
          <w:p w14:paraId="0EDC95D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33.4</w:t>
            </w:r>
          </w:p>
        </w:tc>
        <w:tc>
          <w:tcPr>
            <w:tcW w:w="585" w:type="dxa"/>
            <w:tcBorders>
              <w:top w:val="nil"/>
              <w:left w:val="nil"/>
              <w:bottom w:val="single" w:sz="4" w:space="0" w:color="000000"/>
              <w:right w:val="single" w:sz="4" w:space="0" w:color="000000"/>
            </w:tcBorders>
            <w:shd w:val="clear" w:color="auto" w:fill="auto"/>
            <w:noWrap/>
            <w:vAlign w:val="bottom"/>
            <w:hideMark/>
          </w:tcPr>
          <w:p w14:paraId="3F6D0C0F"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33.2</w:t>
            </w:r>
          </w:p>
        </w:tc>
        <w:tc>
          <w:tcPr>
            <w:tcW w:w="600" w:type="dxa"/>
            <w:tcBorders>
              <w:top w:val="nil"/>
              <w:left w:val="nil"/>
              <w:bottom w:val="single" w:sz="4" w:space="0" w:color="000000"/>
              <w:right w:val="single" w:sz="4" w:space="0" w:color="000000"/>
            </w:tcBorders>
            <w:shd w:val="clear" w:color="auto" w:fill="auto"/>
            <w:noWrap/>
            <w:vAlign w:val="bottom"/>
            <w:hideMark/>
          </w:tcPr>
          <w:p w14:paraId="557462B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35.0</w:t>
            </w:r>
          </w:p>
        </w:tc>
        <w:tc>
          <w:tcPr>
            <w:tcW w:w="585" w:type="dxa"/>
            <w:tcBorders>
              <w:top w:val="nil"/>
              <w:left w:val="nil"/>
              <w:bottom w:val="single" w:sz="4" w:space="0" w:color="000000"/>
              <w:right w:val="single" w:sz="4" w:space="0" w:color="000000"/>
            </w:tcBorders>
            <w:shd w:val="clear" w:color="auto" w:fill="auto"/>
            <w:noWrap/>
            <w:vAlign w:val="bottom"/>
            <w:hideMark/>
          </w:tcPr>
          <w:p w14:paraId="6CFB89A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33.6</w:t>
            </w:r>
          </w:p>
        </w:tc>
        <w:tc>
          <w:tcPr>
            <w:tcW w:w="600" w:type="dxa"/>
            <w:tcBorders>
              <w:top w:val="nil"/>
              <w:left w:val="nil"/>
              <w:bottom w:val="single" w:sz="4" w:space="0" w:color="000000"/>
              <w:right w:val="single" w:sz="4" w:space="0" w:color="000000"/>
            </w:tcBorders>
            <w:shd w:val="clear" w:color="auto" w:fill="auto"/>
            <w:noWrap/>
            <w:vAlign w:val="bottom"/>
            <w:hideMark/>
          </w:tcPr>
          <w:p w14:paraId="08DBB11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35.4</w:t>
            </w:r>
          </w:p>
        </w:tc>
        <w:tc>
          <w:tcPr>
            <w:tcW w:w="585" w:type="dxa"/>
            <w:tcBorders>
              <w:top w:val="nil"/>
              <w:left w:val="nil"/>
              <w:bottom w:val="single" w:sz="4" w:space="0" w:color="000000"/>
              <w:right w:val="single" w:sz="4" w:space="0" w:color="000000"/>
            </w:tcBorders>
            <w:shd w:val="clear" w:color="auto" w:fill="auto"/>
            <w:noWrap/>
            <w:vAlign w:val="bottom"/>
            <w:hideMark/>
          </w:tcPr>
          <w:p w14:paraId="6F25A3D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35.4</w:t>
            </w:r>
          </w:p>
        </w:tc>
      </w:tr>
      <w:tr w:rsidR="00916C90" w:rsidRPr="00AB56A1" w14:paraId="3470C25B"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4DD07B9B"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Czech Republic</w:t>
            </w:r>
          </w:p>
        </w:tc>
        <w:tc>
          <w:tcPr>
            <w:tcW w:w="180" w:type="dxa"/>
            <w:tcBorders>
              <w:top w:val="nil"/>
              <w:left w:val="nil"/>
              <w:bottom w:val="single" w:sz="8" w:space="0" w:color="auto"/>
              <w:right w:val="single" w:sz="8" w:space="0" w:color="auto"/>
            </w:tcBorders>
            <w:shd w:val="clear" w:color="auto" w:fill="auto"/>
            <w:noWrap/>
            <w:vAlign w:val="center"/>
            <w:hideMark/>
          </w:tcPr>
          <w:p w14:paraId="5222C65E"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1B20F4E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26</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609D0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25.3</w:t>
            </w:r>
          </w:p>
        </w:tc>
        <w:tc>
          <w:tcPr>
            <w:tcW w:w="600" w:type="dxa"/>
            <w:tcBorders>
              <w:top w:val="nil"/>
              <w:left w:val="nil"/>
              <w:bottom w:val="single" w:sz="4" w:space="0" w:color="000000"/>
              <w:right w:val="single" w:sz="4" w:space="0" w:color="000000"/>
            </w:tcBorders>
            <w:shd w:val="clear" w:color="auto" w:fill="auto"/>
            <w:noWrap/>
            <w:vAlign w:val="bottom"/>
            <w:hideMark/>
          </w:tcPr>
          <w:p w14:paraId="4774341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25.3</w:t>
            </w:r>
          </w:p>
        </w:tc>
        <w:tc>
          <w:tcPr>
            <w:tcW w:w="600" w:type="dxa"/>
            <w:tcBorders>
              <w:top w:val="nil"/>
              <w:left w:val="nil"/>
              <w:bottom w:val="single" w:sz="4" w:space="0" w:color="000000"/>
              <w:right w:val="single" w:sz="4" w:space="0" w:color="000000"/>
            </w:tcBorders>
            <w:shd w:val="clear" w:color="auto" w:fill="auto"/>
            <w:noWrap/>
            <w:vAlign w:val="bottom"/>
            <w:hideMark/>
          </w:tcPr>
          <w:p w14:paraId="4FFE179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24.7</w:t>
            </w:r>
          </w:p>
        </w:tc>
        <w:tc>
          <w:tcPr>
            <w:tcW w:w="585" w:type="dxa"/>
            <w:tcBorders>
              <w:top w:val="nil"/>
              <w:left w:val="nil"/>
              <w:bottom w:val="single" w:sz="4" w:space="0" w:color="000000"/>
              <w:right w:val="single" w:sz="4" w:space="0" w:color="000000"/>
            </w:tcBorders>
            <w:shd w:val="clear" w:color="auto" w:fill="auto"/>
            <w:noWrap/>
            <w:vAlign w:val="bottom"/>
            <w:hideMark/>
          </w:tcPr>
          <w:p w14:paraId="61DBC42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25.1</w:t>
            </w:r>
          </w:p>
        </w:tc>
        <w:tc>
          <w:tcPr>
            <w:tcW w:w="585" w:type="dxa"/>
            <w:tcBorders>
              <w:top w:val="nil"/>
              <w:left w:val="nil"/>
              <w:bottom w:val="single" w:sz="4" w:space="0" w:color="000000"/>
              <w:right w:val="single" w:sz="4" w:space="0" w:color="000000"/>
            </w:tcBorders>
            <w:shd w:val="clear" w:color="auto" w:fill="auto"/>
            <w:noWrap/>
            <w:vAlign w:val="bottom"/>
            <w:hideMark/>
          </w:tcPr>
          <w:p w14:paraId="47013D9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24.9</w:t>
            </w:r>
          </w:p>
        </w:tc>
        <w:tc>
          <w:tcPr>
            <w:tcW w:w="600" w:type="dxa"/>
            <w:tcBorders>
              <w:top w:val="nil"/>
              <w:left w:val="nil"/>
              <w:bottom w:val="single" w:sz="4" w:space="0" w:color="000000"/>
              <w:right w:val="single" w:sz="4" w:space="0" w:color="000000"/>
            </w:tcBorders>
            <w:shd w:val="clear" w:color="auto" w:fill="auto"/>
            <w:noWrap/>
            <w:vAlign w:val="bottom"/>
            <w:hideMark/>
          </w:tcPr>
          <w:p w14:paraId="15A4F53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25.2</w:t>
            </w:r>
          </w:p>
        </w:tc>
        <w:tc>
          <w:tcPr>
            <w:tcW w:w="585" w:type="dxa"/>
            <w:tcBorders>
              <w:top w:val="nil"/>
              <w:left w:val="nil"/>
              <w:bottom w:val="single" w:sz="4" w:space="0" w:color="000000"/>
              <w:right w:val="single" w:sz="4" w:space="0" w:color="000000"/>
            </w:tcBorders>
            <w:shd w:val="clear" w:color="auto" w:fill="auto"/>
            <w:noWrap/>
            <w:vAlign w:val="bottom"/>
            <w:hideMark/>
          </w:tcPr>
          <w:p w14:paraId="746028A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24.9</w:t>
            </w:r>
          </w:p>
        </w:tc>
        <w:tc>
          <w:tcPr>
            <w:tcW w:w="600" w:type="dxa"/>
            <w:tcBorders>
              <w:top w:val="nil"/>
              <w:left w:val="nil"/>
              <w:bottom w:val="single" w:sz="4" w:space="0" w:color="000000"/>
              <w:right w:val="single" w:sz="4" w:space="0" w:color="000000"/>
            </w:tcBorders>
            <w:shd w:val="clear" w:color="auto" w:fill="auto"/>
            <w:noWrap/>
            <w:vAlign w:val="bottom"/>
            <w:hideMark/>
          </w:tcPr>
          <w:p w14:paraId="280386A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24.6</w:t>
            </w:r>
          </w:p>
        </w:tc>
        <w:tc>
          <w:tcPr>
            <w:tcW w:w="585" w:type="dxa"/>
            <w:tcBorders>
              <w:top w:val="nil"/>
              <w:left w:val="nil"/>
              <w:bottom w:val="single" w:sz="4" w:space="0" w:color="000000"/>
              <w:right w:val="single" w:sz="4" w:space="0" w:color="000000"/>
            </w:tcBorders>
            <w:shd w:val="clear" w:color="auto" w:fill="auto"/>
            <w:noWrap/>
            <w:vAlign w:val="bottom"/>
            <w:hideMark/>
          </w:tcPr>
          <w:p w14:paraId="2A525AC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25.1</w:t>
            </w:r>
          </w:p>
        </w:tc>
      </w:tr>
      <w:tr w:rsidR="00916C90" w:rsidRPr="00AB56A1" w14:paraId="515143C8"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64DCFCE4"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Estonia</w:t>
            </w:r>
          </w:p>
        </w:tc>
        <w:tc>
          <w:tcPr>
            <w:tcW w:w="180" w:type="dxa"/>
            <w:tcBorders>
              <w:top w:val="nil"/>
              <w:left w:val="nil"/>
              <w:bottom w:val="single" w:sz="8" w:space="0" w:color="auto"/>
              <w:right w:val="single" w:sz="8" w:space="0" w:color="auto"/>
            </w:tcBorders>
            <w:shd w:val="clear" w:color="auto" w:fill="auto"/>
            <w:noWrap/>
            <w:vAlign w:val="center"/>
            <w:hideMark/>
          </w:tcPr>
          <w:p w14:paraId="0CDE9CE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37.4</w:t>
            </w:r>
          </w:p>
        </w:tc>
        <w:tc>
          <w:tcPr>
            <w:tcW w:w="620" w:type="dxa"/>
            <w:tcBorders>
              <w:top w:val="nil"/>
              <w:left w:val="nil"/>
              <w:bottom w:val="single" w:sz="8" w:space="0" w:color="auto"/>
              <w:right w:val="single" w:sz="8" w:space="0" w:color="auto"/>
            </w:tcBorders>
            <w:shd w:val="clear" w:color="auto" w:fill="auto"/>
            <w:noWrap/>
            <w:vAlign w:val="center"/>
            <w:hideMark/>
          </w:tcPr>
          <w:p w14:paraId="53354CB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34.1</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ECCCE5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33.1</w:t>
            </w:r>
          </w:p>
        </w:tc>
        <w:tc>
          <w:tcPr>
            <w:tcW w:w="600" w:type="dxa"/>
            <w:tcBorders>
              <w:top w:val="nil"/>
              <w:left w:val="nil"/>
              <w:bottom w:val="single" w:sz="4" w:space="0" w:color="000000"/>
              <w:right w:val="single" w:sz="4" w:space="0" w:color="000000"/>
            </w:tcBorders>
            <w:shd w:val="clear" w:color="auto" w:fill="auto"/>
            <w:noWrap/>
            <w:vAlign w:val="bottom"/>
            <w:hideMark/>
          </w:tcPr>
          <w:p w14:paraId="5213B7F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33.4</w:t>
            </w:r>
          </w:p>
        </w:tc>
        <w:tc>
          <w:tcPr>
            <w:tcW w:w="600" w:type="dxa"/>
            <w:tcBorders>
              <w:top w:val="nil"/>
              <w:left w:val="nil"/>
              <w:bottom w:val="single" w:sz="4" w:space="0" w:color="000000"/>
              <w:right w:val="single" w:sz="4" w:space="0" w:color="000000"/>
            </w:tcBorders>
            <w:shd w:val="clear" w:color="auto" w:fill="auto"/>
            <w:noWrap/>
            <w:vAlign w:val="bottom"/>
            <w:hideMark/>
          </w:tcPr>
          <w:p w14:paraId="5986587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30.9</w:t>
            </w:r>
          </w:p>
        </w:tc>
        <w:tc>
          <w:tcPr>
            <w:tcW w:w="585" w:type="dxa"/>
            <w:tcBorders>
              <w:top w:val="nil"/>
              <w:left w:val="nil"/>
              <w:bottom w:val="single" w:sz="4" w:space="0" w:color="000000"/>
              <w:right w:val="single" w:sz="4" w:space="0" w:color="000000"/>
            </w:tcBorders>
            <w:shd w:val="clear" w:color="auto" w:fill="auto"/>
            <w:noWrap/>
            <w:vAlign w:val="bottom"/>
            <w:hideMark/>
          </w:tcPr>
          <w:p w14:paraId="11FC111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31.4</w:t>
            </w:r>
          </w:p>
        </w:tc>
        <w:tc>
          <w:tcPr>
            <w:tcW w:w="585" w:type="dxa"/>
            <w:tcBorders>
              <w:top w:val="nil"/>
              <w:left w:val="nil"/>
              <w:bottom w:val="single" w:sz="4" w:space="0" w:color="000000"/>
              <w:right w:val="single" w:sz="4" w:space="0" w:color="000000"/>
            </w:tcBorders>
            <w:shd w:val="clear" w:color="auto" w:fill="auto"/>
            <w:noWrap/>
            <w:vAlign w:val="bottom"/>
            <w:hideMark/>
          </w:tcPr>
          <w:p w14:paraId="0E27722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31.3</w:t>
            </w:r>
          </w:p>
        </w:tc>
        <w:tc>
          <w:tcPr>
            <w:tcW w:w="600" w:type="dxa"/>
            <w:tcBorders>
              <w:top w:val="nil"/>
              <w:left w:val="nil"/>
              <w:bottom w:val="single" w:sz="4" w:space="0" w:color="000000"/>
              <w:right w:val="single" w:sz="4" w:space="0" w:color="000000"/>
            </w:tcBorders>
            <w:shd w:val="clear" w:color="auto" w:fill="auto"/>
            <w:noWrap/>
            <w:vAlign w:val="bottom"/>
            <w:hideMark/>
          </w:tcPr>
          <w:p w14:paraId="1A51EAE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31.9</w:t>
            </w:r>
          </w:p>
        </w:tc>
        <w:tc>
          <w:tcPr>
            <w:tcW w:w="585" w:type="dxa"/>
            <w:tcBorders>
              <w:top w:val="nil"/>
              <w:left w:val="nil"/>
              <w:bottom w:val="single" w:sz="4" w:space="0" w:color="000000"/>
              <w:right w:val="single" w:sz="4" w:space="0" w:color="000000"/>
            </w:tcBorders>
            <w:shd w:val="clear" w:color="auto" w:fill="auto"/>
            <w:noWrap/>
            <w:vAlign w:val="bottom"/>
            <w:hideMark/>
          </w:tcPr>
          <w:p w14:paraId="53AD590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32.5</w:t>
            </w:r>
          </w:p>
        </w:tc>
        <w:tc>
          <w:tcPr>
            <w:tcW w:w="600" w:type="dxa"/>
            <w:tcBorders>
              <w:top w:val="nil"/>
              <w:left w:val="nil"/>
              <w:bottom w:val="single" w:sz="4" w:space="0" w:color="000000"/>
              <w:right w:val="single" w:sz="4" w:space="0" w:color="000000"/>
            </w:tcBorders>
            <w:shd w:val="clear" w:color="auto" w:fill="auto"/>
            <w:noWrap/>
            <w:vAlign w:val="bottom"/>
            <w:hideMark/>
          </w:tcPr>
          <w:p w14:paraId="3C3CB1A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32.9</w:t>
            </w:r>
          </w:p>
        </w:tc>
        <w:tc>
          <w:tcPr>
            <w:tcW w:w="585" w:type="dxa"/>
            <w:tcBorders>
              <w:top w:val="nil"/>
              <w:left w:val="nil"/>
              <w:bottom w:val="single" w:sz="4" w:space="0" w:color="000000"/>
              <w:right w:val="single" w:sz="4" w:space="0" w:color="000000"/>
            </w:tcBorders>
            <w:shd w:val="clear" w:color="auto" w:fill="auto"/>
            <w:noWrap/>
            <w:vAlign w:val="bottom"/>
            <w:hideMark/>
          </w:tcPr>
          <w:p w14:paraId="7F789DF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35.6</w:t>
            </w:r>
          </w:p>
        </w:tc>
      </w:tr>
      <w:tr w:rsidR="00916C90" w:rsidRPr="00AB56A1" w14:paraId="30D331A4"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35A21FE8"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Latvia</w:t>
            </w:r>
          </w:p>
        </w:tc>
        <w:tc>
          <w:tcPr>
            <w:tcW w:w="180" w:type="dxa"/>
            <w:tcBorders>
              <w:top w:val="nil"/>
              <w:left w:val="nil"/>
              <w:bottom w:val="single" w:sz="8" w:space="0" w:color="auto"/>
              <w:right w:val="single" w:sz="8" w:space="0" w:color="auto"/>
            </w:tcBorders>
            <w:shd w:val="clear" w:color="auto" w:fill="auto"/>
            <w:noWrap/>
            <w:vAlign w:val="center"/>
            <w:hideMark/>
          </w:tcPr>
          <w:p w14:paraId="27AECF5D"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7855F29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36.1</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1448292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38.9</w:t>
            </w:r>
          </w:p>
        </w:tc>
        <w:tc>
          <w:tcPr>
            <w:tcW w:w="600" w:type="dxa"/>
            <w:tcBorders>
              <w:top w:val="nil"/>
              <w:left w:val="nil"/>
              <w:bottom w:val="single" w:sz="4" w:space="0" w:color="000000"/>
              <w:right w:val="single" w:sz="4" w:space="0" w:color="000000"/>
            </w:tcBorders>
            <w:shd w:val="clear" w:color="auto" w:fill="auto"/>
            <w:noWrap/>
            <w:vAlign w:val="bottom"/>
            <w:hideMark/>
          </w:tcPr>
          <w:p w14:paraId="2F5E992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35.4</w:t>
            </w:r>
          </w:p>
        </w:tc>
        <w:tc>
          <w:tcPr>
            <w:tcW w:w="600" w:type="dxa"/>
            <w:tcBorders>
              <w:top w:val="nil"/>
              <w:left w:val="nil"/>
              <w:bottom w:val="single" w:sz="4" w:space="0" w:color="000000"/>
              <w:right w:val="single" w:sz="4" w:space="0" w:color="000000"/>
            </w:tcBorders>
            <w:shd w:val="clear" w:color="auto" w:fill="auto"/>
            <w:noWrap/>
            <w:vAlign w:val="bottom"/>
            <w:hideMark/>
          </w:tcPr>
          <w:p w14:paraId="5B262F8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37.5</w:t>
            </w:r>
          </w:p>
        </w:tc>
        <w:tc>
          <w:tcPr>
            <w:tcW w:w="585" w:type="dxa"/>
            <w:tcBorders>
              <w:top w:val="nil"/>
              <w:left w:val="nil"/>
              <w:bottom w:val="single" w:sz="4" w:space="0" w:color="000000"/>
              <w:right w:val="single" w:sz="4" w:space="0" w:color="000000"/>
            </w:tcBorders>
            <w:shd w:val="clear" w:color="auto" w:fill="auto"/>
            <w:noWrap/>
            <w:vAlign w:val="bottom"/>
            <w:hideMark/>
          </w:tcPr>
          <w:p w14:paraId="62FB31E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37.5</w:t>
            </w:r>
          </w:p>
        </w:tc>
        <w:tc>
          <w:tcPr>
            <w:tcW w:w="585" w:type="dxa"/>
            <w:tcBorders>
              <w:top w:val="nil"/>
              <w:left w:val="nil"/>
              <w:bottom w:val="single" w:sz="4" w:space="0" w:color="000000"/>
              <w:right w:val="single" w:sz="4" w:space="0" w:color="000000"/>
            </w:tcBorders>
            <w:shd w:val="clear" w:color="auto" w:fill="auto"/>
            <w:noWrap/>
            <w:vAlign w:val="bottom"/>
            <w:hideMark/>
          </w:tcPr>
          <w:p w14:paraId="59B54FA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35.9</w:t>
            </w:r>
          </w:p>
        </w:tc>
        <w:tc>
          <w:tcPr>
            <w:tcW w:w="600" w:type="dxa"/>
            <w:tcBorders>
              <w:top w:val="nil"/>
              <w:left w:val="nil"/>
              <w:bottom w:val="single" w:sz="4" w:space="0" w:color="000000"/>
              <w:right w:val="single" w:sz="4" w:space="0" w:color="000000"/>
            </w:tcBorders>
            <w:shd w:val="clear" w:color="auto" w:fill="auto"/>
            <w:noWrap/>
            <w:vAlign w:val="bottom"/>
            <w:hideMark/>
          </w:tcPr>
          <w:p w14:paraId="1BBE1F2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35.1</w:t>
            </w:r>
          </w:p>
        </w:tc>
        <w:tc>
          <w:tcPr>
            <w:tcW w:w="585" w:type="dxa"/>
            <w:tcBorders>
              <w:top w:val="nil"/>
              <w:left w:val="nil"/>
              <w:bottom w:val="single" w:sz="4" w:space="0" w:color="000000"/>
              <w:right w:val="single" w:sz="4" w:space="0" w:color="000000"/>
            </w:tcBorders>
            <w:shd w:val="clear" w:color="auto" w:fill="auto"/>
            <w:noWrap/>
            <w:vAlign w:val="bottom"/>
            <w:hideMark/>
          </w:tcPr>
          <w:p w14:paraId="67BEC2D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35.7</w:t>
            </w:r>
          </w:p>
        </w:tc>
        <w:tc>
          <w:tcPr>
            <w:tcW w:w="600" w:type="dxa"/>
            <w:tcBorders>
              <w:top w:val="nil"/>
              <w:left w:val="nil"/>
              <w:bottom w:val="single" w:sz="4" w:space="0" w:color="000000"/>
              <w:right w:val="single" w:sz="4" w:space="0" w:color="000000"/>
            </w:tcBorders>
            <w:shd w:val="clear" w:color="auto" w:fill="auto"/>
            <w:noWrap/>
            <w:vAlign w:val="bottom"/>
            <w:hideMark/>
          </w:tcPr>
          <w:p w14:paraId="1C455C2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35.2</w:t>
            </w:r>
          </w:p>
        </w:tc>
        <w:tc>
          <w:tcPr>
            <w:tcW w:w="585" w:type="dxa"/>
            <w:tcBorders>
              <w:top w:val="nil"/>
              <w:left w:val="nil"/>
              <w:bottom w:val="single" w:sz="4" w:space="0" w:color="000000"/>
              <w:right w:val="single" w:sz="4" w:space="0" w:color="000000"/>
            </w:tcBorders>
            <w:shd w:val="clear" w:color="auto" w:fill="auto"/>
            <w:noWrap/>
            <w:vAlign w:val="bottom"/>
            <w:hideMark/>
          </w:tcPr>
          <w:p w14:paraId="2BECA71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35.5</w:t>
            </w:r>
          </w:p>
        </w:tc>
      </w:tr>
      <w:tr w:rsidR="00916C90" w:rsidRPr="00AB56A1" w14:paraId="7E50285E"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312425F7"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Lithuania</w:t>
            </w:r>
          </w:p>
        </w:tc>
        <w:tc>
          <w:tcPr>
            <w:tcW w:w="180" w:type="dxa"/>
            <w:tcBorders>
              <w:top w:val="nil"/>
              <w:left w:val="nil"/>
              <w:bottom w:val="single" w:sz="8" w:space="0" w:color="auto"/>
              <w:right w:val="single" w:sz="8" w:space="0" w:color="auto"/>
            </w:tcBorders>
            <w:shd w:val="clear" w:color="auto" w:fill="auto"/>
            <w:noWrap/>
            <w:vAlign w:val="center"/>
            <w:hideMark/>
          </w:tcPr>
          <w:p w14:paraId="52D12FD9"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3E257DB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36.3</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3F55705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35.0</w:t>
            </w:r>
          </w:p>
        </w:tc>
        <w:tc>
          <w:tcPr>
            <w:tcW w:w="600" w:type="dxa"/>
            <w:tcBorders>
              <w:top w:val="nil"/>
              <w:left w:val="nil"/>
              <w:bottom w:val="single" w:sz="4" w:space="0" w:color="000000"/>
              <w:right w:val="single" w:sz="4" w:space="0" w:color="000000"/>
            </w:tcBorders>
            <w:shd w:val="clear" w:color="auto" w:fill="auto"/>
            <w:noWrap/>
            <w:vAlign w:val="bottom"/>
            <w:hideMark/>
          </w:tcPr>
          <w:p w14:paraId="4BC3615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33.8</w:t>
            </w:r>
          </w:p>
        </w:tc>
        <w:tc>
          <w:tcPr>
            <w:tcW w:w="600" w:type="dxa"/>
            <w:tcBorders>
              <w:top w:val="nil"/>
              <w:left w:val="nil"/>
              <w:bottom w:val="single" w:sz="4" w:space="0" w:color="000000"/>
              <w:right w:val="single" w:sz="4" w:space="0" w:color="000000"/>
            </w:tcBorders>
            <w:shd w:val="clear" w:color="auto" w:fill="auto"/>
            <w:noWrap/>
            <w:vAlign w:val="bottom"/>
            <w:hideMark/>
          </w:tcPr>
          <w:p w14:paraId="2179449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34.5</w:t>
            </w:r>
          </w:p>
        </w:tc>
        <w:tc>
          <w:tcPr>
            <w:tcW w:w="585" w:type="dxa"/>
            <w:tcBorders>
              <w:top w:val="nil"/>
              <w:left w:val="nil"/>
              <w:bottom w:val="single" w:sz="4" w:space="0" w:color="000000"/>
              <w:right w:val="single" w:sz="4" w:space="0" w:color="000000"/>
            </w:tcBorders>
            <w:shd w:val="clear" w:color="auto" w:fill="auto"/>
            <w:noWrap/>
            <w:vAlign w:val="bottom"/>
            <w:hideMark/>
          </w:tcPr>
          <w:p w14:paraId="4449C28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35.9</w:t>
            </w:r>
          </w:p>
        </w:tc>
        <w:tc>
          <w:tcPr>
            <w:tcW w:w="585" w:type="dxa"/>
            <w:tcBorders>
              <w:top w:val="nil"/>
              <w:left w:val="nil"/>
              <w:bottom w:val="single" w:sz="4" w:space="0" w:color="000000"/>
              <w:right w:val="single" w:sz="4" w:space="0" w:color="000000"/>
            </w:tcBorders>
            <w:shd w:val="clear" w:color="auto" w:fill="auto"/>
            <w:noWrap/>
            <w:vAlign w:val="bottom"/>
            <w:hideMark/>
          </w:tcPr>
          <w:p w14:paraId="5CB8952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37.0</w:t>
            </w:r>
          </w:p>
        </w:tc>
        <w:tc>
          <w:tcPr>
            <w:tcW w:w="600" w:type="dxa"/>
            <w:tcBorders>
              <w:top w:val="nil"/>
              <w:left w:val="nil"/>
              <w:bottom w:val="single" w:sz="4" w:space="0" w:color="000000"/>
              <w:right w:val="single" w:sz="4" w:space="0" w:color="000000"/>
            </w:tcBorders>
            <w:shd w:val="clear" w:color="auto" w:fill="auto"/>
            <w:noWrap/>
            <w:vAlign w:val="bottom"/>
            <w:hideMark/>
          </w:tcPr>
          <w:p w14:paraId="303FBAE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33.0</w:t>
            </w:r>
          </w:p>
        </w:tc>
        <w:tc>
          <w:tcPr>
            <w:tcW w:w="585" w:type="dxa"/>
            <w:tcBorders>
              <w:top w:val="nil"/>
              <w:left w:val="nil"/>
              <w:bottom w:val="single" w:sz="4" w:space="0" w:color="000000"/>
              <w:right w:val="single" w:sz="4" w:space="0" w:color="000000"/>
            </w:tcBorders>
            <w:shd w:val="clear" w:color="auto" w:fill="auto"/>
            <w:noWrap/>
            <w:vAlign w:val="bottom"/>
            <w:hideMark/>
          </w:tcPr>
          <w:p w14:paraId="17F2552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32.0</w:t>
            </w:r>
          </w:p>
        </w:tc>
        <w:tc>
          <w:tcPr>
            <w:tcW w:w="600" w:type="dxa"/>
            <w:tcBorders>
              <w:top w:val="nil"/>
              <w:left w:val="nil"/>
              <w:bottom w:val="single" w:sz="4" w:space="0" w:color="000000"/>
              <w:right w:val="single" w:sz="4" w:space="0" w:color="000000"/>
            </w:tcBorders>
            <w:shd w:val="clear" w:color="auto" w:fill="auto"/>
            <w:noWrap/>
            <w:vAlign w:val="bottom"/>
            <w:hideMark/>
          </w:tcPr>
          <w:p w14:paraId="46B8E70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34.6</w:t>
            </w:r>
          </w:p>
        </w:tc>
        <w:tc>
          <w:tcPr>
            <w:tcW w:w="585" w:type="dxa"/>
            <w:tcBorders>
              <w:top w:val="nil"/>
              <w:left w:val="nil"/>
              <w:bottom w:val="single" w:sz="4" w:space="0" w:color="000000"/>
              <w:right w:val="single" w:sz="4" w:space="0" w:color="000000"/>
            </w:tcBorders>
            <w:shd w:val="clear" w:color="auto" w:fill="auto"/>
            <w:noWrap/>
            <w:vAlign w:val="bottom"/>
            <w:hideMark/>
          </w:tcPr>
          <w:p w14:paraId="3E848E3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35.0</w:t>
            </w:r>
          </w:p>
        </w:tc>
      </w:tr>
      <w:tr w:rsidR="00916C90" w:rsidRPr="00AB56A1" w14:paraId="7F3D3AEB"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6429A94A"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Hungary</w:t>
            </w:r>
          </w:p>
        </w:tc>
        <w:tc>
          <w:tcPr>
            <w:tcW w:w="180" w:type="dxa"/>
            <w:tcBorders>
              <w:top w:val="nil"/>
              <w:left w:val="nil"/>
              <w:bottom w:val="single" w:sz="8" w:space="0" w:color="auto"/>
              <w:right w:val="single" w:sz="8" w:space="0" w:color="auto"/>
            </w:tcBorders>
            <w:shd w:val="clear" w:color="auto" w:fill="auto"/>
            <w:noWrap/>
            <w:vAlign w:val="center"/>
            <w:hideMark/>
          </w:tcPr>
          <w:p w14:paraId="2D506190"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7FBB977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27.6</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AADCAD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33.3</w:t>
            </w:r>
          </w:p>
        </w:tc>
        <w:tc>
          <w:tcPr>
            <w:tcW w:w="600" w:type="dxa"/>
            <w:tcBorders>
              <w:top w:val="nil"/>
              <w:left w:val="nil"/>
              <w:bottom w:val="single" w:sz="4" w:space="0" w:color="000000"/>
              <w:right w:val="single" w:sz="4" w:space="0" w:color="000000"/>
            </w:tcBorders>
            <w:shd w:val="clear" w:color="auto" w:fill="auto"/>
            <w:noWrap/>
            <w:vAlign w:val="bottom"/>
            <w:hideMark/>
          </w:tcPr>
          <w:p w14:paraId="584BF05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25.6</w:t>
            </w:r>
          </w:p>
        </w:tc>
        <w:tc>
          <w:tcPr>
            <w:tcW w:w="600" w:type="dxa"/>
            <w:tcBorders>
              <w:top w:val="nil"/>
              <w:left w:val="nil"/>
              <w:bottom w:val="single" w:sz="4" w:space="0" w:color="000000"/>
              <w:right w:val="single" w:sz="4" w:space="0" w:color="000000"/>
            </w:tcBorders>
            <w:shd w:val="clear" w:color="auto" w:fill="auto"/>
            <w:noWrap/>
            <w:vAlign w:val="bottom"/>
            <w:hideMark/>
          </w:tcPr>
          <w:p w14:paraId="744F85E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25.2</w:t>
            </w:r>
          </w:p>
        </w:tc>
        <w:tc>
          <w:tcPr>
            <w:tcW w:w="585" w:type="dxa"/>
            <w:tcBorders>
              <w:top w:val="nil"/>
              <w:left w:val="nil"/>
              <w:bottom w:val="single" w:sz="4" w:space="0" w:color="000000"/>
              <w:right w:val="single" w:sz="4" w:space="0" w:color="000000"/>
            </w:tcBorders>
            <w:shd w:val="clear" w:color="auto" w:fill="auto"/>
            <w:noWrap/>
            <w:vAlign w:val="bottom"/>
            <w:hideMark/>
          </w:tcPr>
          <w:p w14:paraId="29D0E26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24.7</w:t>
            </w:r>
          </w:p>
        </w:tc>
        <w:tc>
          <w:tcPr>
            <w:tcW w:w="585" w:type="dxa"/>
            <w:tcBorders>
              <w:top w:val="nil"/>
              <w:left w:val="nil"/>
              <w:bottom w:val="single" w:sz="4" w:space="0" w:color="000000"/>
              <w:right w:val="single" w:sz="4" w:space="0" w:color="000000"/>
            </w:tcBorders>
            <w:shd w:val="clear" w:color="auto" w:fill="auto"/>
            <w:noWrap/>
            <w:vAlign w:val="bottom"/>
            <w:hideMark/>
          </w:tcPr>
          <w:p w14:paraId="4D899FF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24.1</w:t>
            </w:r>
          </w:p>
        </w:tc>
        <w:tc>
          <w:tcPr>
            <w:tcW w:w="600" w:type="dxa"/>
            <w:tcBorders>
              <w:top w:val="nil"/>
              <w:left w:val="nil"/>
              <w:bottom w:val="single" w:sz="4" w:space="0" w:color="000000"/>
              <w:right w:val="single" w:sz="4" w:space="0" w:color="000000"/>
            </w:tcBorders>
            <w:shd w:val="clear" w:color="auto" w:fill="auto"/>
            <w:noWrap/>
            <w:vAlign w:val="bottom"/>
            <w:hideMark/>
          </w:tcPr>
          <w:p w14:paraId="33CBBDA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26.9</w:t>
            </w:r>
          </w:p>
        </w:tc>
        <w:tc>
          <w:tcPr>
            <w:tcW w:w="585" w:type="dxa"/>
            <w:tcBorders>
              <w:top w:val="nil"/>
              <w:left w:val="nil"/>
              <w:bottom w:val="single" w:sz="4" w:space="0" w:color="000000"/>
              <w:right w:val="single" w:sz="4" w:space="0" w:color="000000"/>
            </w:tcBorders>
            <w:shd w:val="clear" w:color="auto" w:fill="auto"/>
            <w:noWrap/>
            <w:vAlign w:val="bottom"/>
            <w:hideMark/>
          </w:tcPr>
          <w:p w14:paraId="2A3846A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27.2</w:t>
            </w:r>
          </w:p>
        </w:tc>
        <w:tc>
          <w:tcPr>
            <w:tcW w:w="600" w:type="dxa"/>
            <w:tcBorders>
              <w:top w:val="nil"/>
              <w:left w:val="nil"/>
              <w:bottom w:val="single" w:sz="4" w:space="0" w:color="000000"/>
              <w:right w:val="single" w:sz="4" w:space="0" w:color="000000"/>
            </w:tcBorders>
            <w:shd w:val="clear" w:color="auto" w:fill="auto"/>
            <w:noWrap/>
            <w:vAlign w:val="bottom"/>
            <w:hideMark/>
          </w:tcPr>
          <w:p w14:paraId="4BFA4B7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28.3</w:t>
            </w:r>
          </w:p>
        </w:tc>
        <w:tc>
          <w:tcPr>
            <w:tcW w:w="585" w:type="dxa"/>
            <w:tcBorders>
              <w:top w:val="nil"/>
              <w:left w:val="nil"/>
              <w:bottom w:val="single" w:sz="4" w:space="0" w:color="000000"/>
              <w:right w:val="single" w:sz="4" w:space="0" w:color="000000"/>
            </w:tcBorders>
            <w:shd w:val="clear" w:color="auto" w:fill="auto"/>
            <w:noWrap/>
            <w:vAlign w:val="bottom"/>
            <w:hideMark/>
          </w:tcPr>
          <w:p w14:paraId="5C2E81F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28.6</w:t>
            </w:r>
          </w:p>
        </w:tc>
      </w:tr>
      <w:tr w:rsidR="00916C90" w:rsidRPr="00AB56A1" w14:paraId="417A0E15"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6B0A472C"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Poland</w:t>
            </w:r>
          </w:p>
        </w:tc>
        <w:tc>
          <w:tcPr>
            <w:tcW w:w="180" w:type="dxa"/>
            <w:tcBorders>
              <w:top w:val="nil"/>
              <w:left w:val="nil"/>
              <w:bottom w:val="single" w:sz="8" w:space="0" w:color="auto"/>
              <w:right w:val="single" w:sz="8" w:space="0" w:color="auto"/>
            </w:tcBorders>
            <w:shd w:val="clear" w:color="auto" w:fill="auto"/>
            <w:noWrap/>
            <w:vAlign w:val="center"/>
            <w:hideMark/>
          </w:tcPr>
          <w:p w14:paraId="0459624B"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741C7BB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35.6</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03C3C6C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33.3</w:t>
            </w:r>
          </w:p>
        </w:tc>
        <w:tc>
          <w:tcPr>
            <w:tcW w:w="600" w:type="dxa"/>
            <w:tcBorders>
              <w:top w:val="nil"/>
              <w:left w:val="nil"/>
              <w:bottom w:val="single" w:sz="4" w:space="0" w:color="000000"/>
              <w:right w:val="single" w:sz="4" w:space="0" w:color="000000"/>
            </w:tcBorders>
            <w:shd w:val="clear" w:color="auto" w:fill="auto"/>
            <w:noWrap/>
            <w:vAlign w:val="bottom"/>
            <w:hideMark/>
          </w:tcPr>
          <w:p w14:paraId="08AC532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32.2</w:t>
            </w:r>
          </w:p>
        </w:tc>
        <w:tc>
          <w:tcPr>
            <w:tcW w:w="600" w:type="dxa"/>
            <w:tcBorders>
              <w:top w:val="nil"/>
              <w:left w:val="nil"/>
              <w:bottom w:val="single" w:sz="4" w:space="0" w:color="000000"/>
              <w:right w:val="single" w:sz="4" w:space="0" w:color="000000"/>
            </w:tcBorders>
            <w:shd w:val="clear" w:color="auto" w:fill="auto"/>
            <w:noWrap/>
            <w:vAlign w:val="bottom"/>
            <w:hideMark/>
          </w:tcPr>
          <w:p w14:paraId="55FE906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32.0</w:t>
            </w:r>
          </w:p>
        </w:tc>
        <w:tc>
          <w:tcPr>
            <w:tcW w:w="585" w:type="dxa"/>
            <w:tcBorders>
              <w:top w:val="nil"/>
              <w:left w:val="nil"/>
              <w:bottom w:val="single" w:sz="4" w:space="0" w:color="000000"/>
              <w:right w:val="single" w:sz="4" w:space="0" w:color="000000"/>
            </w:tcBorders>
            <w:shd w:val="clear" w:color="auto" w:fill="auto"/>
            <w:noWrap/>
            <w:vAlign w:val="bottom"/>
            <w:hideMark/>
          </w:tcPr>
          <w:p w14:paraId="21F690B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31.4</w:t>
            </w:r>
          </w:p>
        </w:tc>
        <w:tc>
          <w:tcPr>
            <w:tcW w:w="585" w:type="dxa"/>
            <w:tcBorders>
              <w:top w:val="nil"/>
              <w:left w:val="nil"/>
              <w:bottom w:val="single" w:sz="4" w:space="0" w:color="000000"/>
              <w:right w:val="single" w:sz="4" w:space="0" w:color="000000"/>
            </w:tcBorders>
            <w:shd w:val="clear" w:color="auto" w:fill="auto"/>
            <w:noWrap/>
            <w:vAlign w:val="bottom"/>
            <w:hideMark/>
          </w:tcPr>
          <w:p w14:paraId="0B1A996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31.1</w:t>
            </w:r>
          </w:p>
        </w:tc>
        <w:tc>
          <w:tcPr>
            <w:tcW w:w="600" w:type="dxa"/>
            <w:tcBorders>
              <w:top w:val="nil"/>
              <w:left w:val="nil"/>
              <w:bottom w:val="single" w:sz="4" w:space="0" w:color="000000"/>
              <w:right w:val="single" w:sz="4" w:space="0" w:color="000000"/>
            </w:tcBorders>
            <w:shd w:val="clear" w:color="auto" w:fill="auto"/>
            <w:noWrap/>
            <w:vAlign w:val="bottom"/>
            <w:hideMark/>
          </w:tcPr>
          <w:p w14:paraId="167B742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31.1</w:t>
            </w:r>
          </w:p>
        </w:tc>
        <w:tc>
          <w:tcPr>
            <w:tcW w:w="585" w:type="dxa"/>
            <w:tcBorders>
              <w:top w:val="nil"/>
              <w:left w:val="nil"/>
              <w:bottom w:val="single" w:sz="4" w:space="0" w:color="000000"/>
              <w:right w:val="single" w:sz="4" w:space="0" w:color="000000"/>
            </w:tcBorders>
            <w:shd w:val="clear" w:color="auto" w:fill="auto"/>
            <w:noWrap/>
            <w:vAlign w:val="bottom"/>
            <w:hideMark/>
          </w:tcPr>
          <w:p w14:paraId="192412C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30.9</w:t>
            </w:r>
          </w:p>
        </w:tc>
        <w:tc>
          <w:tcPr>
            <w:tcW w:w="600" w:type="dxa"/>
            <w:tcBorders>
              <w:top w:val="nil"/>
              <w:left w:val="nil"/>
              <w:bottom w:val="single" w:sz="4" w:space="0" w:color="000000"/>
              <w:right w:val="single" w:sz="4" w:space="0" w:color="000000"/>
            </w:tcBorders>
            <w:shd w:val="clear" w:color="auto" w:fill="auto"/>
            <w:noWrap/>
            <w:vAlign w:val="bottom"/>
            <w:hideMark/>
          </w:tcPr>
          <w:p w14:paraId="17F1138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30.7</w:t>
            </w:r>
          </w:p>
        </w:tc>
        <w:tc>
          <w:tcPr>
            <w:tcW w:w="585" w:type="dxa"/>
            <w:tcBorders>
              <w:top w:val="nil"/>
              <w:left w:val="nil"/>
              <w:bottom w:val="single" w:sz="4" w:space="0" w:color="000000"/>
              <w:right w:val="single" w:sz="4" w:space="0" w:color="000000"/>
            </w:tcBorders>
            <w:shd w:val="clear" w:color="auto" w:fill="auto"/>
            <w:noWrap/>
            <w:vAlign w:val="bottom"/>
            <w:hideMark/>
          </w:tcPr>
          <w:p w14:paraId="168683C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30.8</w:t>
            </w:r>
          </w:p>
        </w:tc>
      </w:tr>
      <w:tr w:rsidR="00916C90" w:rsidRPr="00AB56A1" w14:paraId="3B16DD2A"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027B1C97"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Romania</w:t>
            </w:r>
          </w:p>
        </w:tc>
        <w:tc>
          <w:tcPr>
            <w:tcW w:w="180" w:type="dxa"/>
            <w:tcBorders>
              <w:top w:val="nil"/>
              <w:left w:val="nil"/>
              <w:bottom w:val="single" w:sz="8" w:space="0" w:color="auto"/>
              <w:right w:val="single" w:sz="8" w:space="0" w:color="auto"/>
            </w:tcBorders>
            <w:shd w:val="clear" w:color="auto" w:fill="auto"/>
            <w:noWrap/>
            <w:vAlign w:val="center"/>
            <w:hideMark/>
          </w:tcPr>
          <w:p w14:paraId="480481F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w:t>
            </w:r>
          </w:p>
        </w:tc>
        <w:tc>
          <w:tcPr>
            <w:tcW w:w="620" w:type="dxa"/>
            <w:tcBorders>
              <w:top w:val="nil"/>
              <w:left w:val="nil"/>
              <w:bottom w:val="single" w:sz="8" w:space="0" w:color="auto"/>
              <w:right w:val="single" w:sz="8" w:space="0" w:color="auto"/>
            </w:tcBorders>
            <w:shd w:val="clear" w:color="auto" w:fill="auto"/>
            <w:noWrap/>
            <w:vAlign w:val="center"/>
            <w:hideMark/>
          </w:tcPr>
          <w:p w14:paraId="6FFB4BB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16944136"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00" w:type="dxa"/>
            <w:tcBorders>
              <w:top w:val="nil"/>
              <w:left w:val="nil"/>
              <w:bottom w:val="single" w:sz="4" w:space="0" w:color="000000"/>
              <w:right w:val="single" w:sz="4" w:space="0" w:color="000000"/>
            </w:tcBorders>
            <w:shd w:val="clear" w:color="auto" w:fill="auto"/>
            <w:noWrap/>
            <w:vAlign w:val="bottom"/>
            <w:hideMark/>
          </w:tcPr>
          <w:p w14:paraId="5096822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37.8</w:t>
            </w:r>
          </w:p>
        </w:tc>
        <w:tc>
          <w:tcPr>
            <w:tcW w:w="600" w:type="dxa"/>
            <w:tcBorders>
              <w:top w:val="nil"/>
              <w:left w:val="nil"/>
              <w:bottom w:val="single" w:sz="4" w:space="0" w:color="000000"/>
              <w:right w:val="single" w:sz="4" w:space="0" w:color="000000"/>
            </w:tcBorders>
            <w:shd w:val="clear" w:color="auto" w:fill="auto"/>
            <w:noWrap/>
            <w:vAlign w:val="bottom"/>
            <w:hideMark/>
          </w:tcPr>
          <w:p w14:paraId="390C856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36.0</w:t>
            </w:r>
          </w:p>
        </w:tc>
        <w:tc>
          <w:tcPr>
            <w:tcW w:w="585" w:type="dxa"/>
            <w:tcBorders>
              <w:top w:val="nil"/>
              <w:left w:val="nil"/>
              <w:bottom w:val="single" w:sz="4" w:space="0" w:color="000000"/>
              <w:right w:val="single" w:sz="4" w:space="0" w:color="000000"/>
            </w:tcBorders>
            <w:shd w:val="clear" w:color="auto" w:fill="auto"/>
            <w:noWrap/>
            <w:vAlign w:val="bottom"/>
            <w:hideMark/>
          </w:tcPr>
          <w:p w14:paraId="3065F1A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34.9</w:t>
            </w:r>
          </w:p>
        </w:tc>
        <w:tc>
          <w:tcPr>
            <w:tcW w:w="585" w:type="dxa"/>
            <w:tcBorders>
              <w:top w:val="nil"/>
              <w:left w:val="nil"/>
              <w:bottom w:val="single" w:sz="4" w:space="0" w:color="000000"/>
              <w:right w:val="single" w:sz="4" w:space="0" w:color="000000"/>
            </w:tcBorders>
            <w:shd w:val="clear" w:color="auto" w:fill="auto"/>
            <w:noWrap/>
            <w:vAlign w:val="bottom"/>
            <w:hideMark/>
          </w:tcPr>
          <w:p w14:paraId="51F50AA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33.3</w:t>
            </w:r>
          </w:p>
        </w:tc>
        <w:tc>
          <w:tcPr>
            <w:tcW w:w="600" w:type="dxa"/>
            <w:tcBorders>
              <w:top w:val="nil"/>
              <w:left w:val="nil"/>
              <w:bottom w:val="single" w:sz="4" w:space="0" w:color="000000"/>
              <w:right w:val="single" w:sz="4" w:space="0" w:color="000000"/>
            </w:tcBorders>
            <w:shd w:val="clear" w:color="auto" w:fill="auto"/>
            <w:noWrap/>
            <w:vAlign w:val="bottom"/>
            <w:hideMark/>
          </w:tcPr>
          <w:p w14:paraId="40A5B6B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33.2</w:t>
            </w:r>
          </w:p>
        </w:tc>
        <w:tc>
          <w:tcPr>
            <w:tcW w:w="585" w:type="dxa"/>
            <w:tcBorders>
              <w:top w:val="nil"/>
              <w:left w:val="nil"/>
              <w:bottom w:val="single" w:sz="4" w:space="0" w:color="000000"/>
              <w:right w:val="single" w:sz="4" w:space="0" w:color="000000"/>
            </w:tcBorders>
            <w:shd w:val="clear" w:color="auto" w:fill="auto"/>
            <w:noWrap/>
            <w:vAlign w:val="bottom"/>
            <w:hideMark/>
          </w:tcPr>
          <w:p w14:paraId="305EE6A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33.2</w:t>
            </w:r>
          </w:p>
        </w:tc>
        <w:tc>
          <w:tcPr>
            <w:tcW w:w="600" w:type="dxa"/>
            <w:tcBorders>
              <w:top w:val="nil"/>
              <w:left w:val="nil"/>
              <w:bottom w:val="single" w:sz="4" w:space="0" w:color="000000"/>
              <w:right w:val="single" w:sz="4" w:space="0" w:color="000000"/>
            </w:tcBorders>
            <w:shd w:val="clear" w:color="auto" w:fill="auto"/>
            <w:noWrap/>
            <w:vAlign w:val="bottom"/>
            <w:hideMark/>
          </w:tcPr>
          <w:p w14:paraId="43C3E85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34.0</w:t>
            </w:r>
          </w:p>
        </w:tc>
        <w:tc>
          <w:tcPr>
            <w:tcW w:w="585" w:type="dxa"/>
            <w:tcBorders>
              <w:top w:val="nil"/>
              <w:left w:val="nil"/>
              <w:bottom w:val="single" w:sz="4" w:space="0" w:color="000000"/>
              <w:right w:val="single" w:sz="4" w:space="0" w:color="000000"/>
            </w:tcBorders>
            <w:shd w:val="clear" w:color="auto" w:fill="auto"/>
            <w:noWrap/>
            <w:vAlign w:val="bottom"/>
            <w:hideMark/>
          </w:tcPr>
          <w:p w14:paraId="4DB5309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34.7</w:t>
            </w:r>
          </w:p>
        </w:tc>
      </w:tr>
      <w:tr w:rsidR="00916C90" w:rsidRPr="00AB56A1" w14:paraId="26BCB3E8"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772F5DD6"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Slovenia</w:t>
            </w:r>
          </w:p>
        </w:tc>
        <w:tc>
          <w:tcPr>
            <w:tcW w:w="180" w:type="dxa"/>
            <w:tcBorders>
              <w:top w:val="nil"/>
              <w:left w:val="nil"/>
              <w:bottom w:val="single" w:sz="8" w:space="0" w:color="auto"/>
              <w:right w:val="single" w:sz="8" w:space="0" w:color="auto"/>
            </w:tcBorders>
            <w:shd w:val="clear" w:color="auto" w:fill="auto"/>
            <w:noWrap/>
            <w:vAlign w:val="center"/>
            <w:hideMark/>
          </w:tcPr>
          <w:p w14:paraId="6F2FC2D1"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1651B14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23.8</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570BCE0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23.7</w:t>
            </w:r>
          </w:p>
        </w:tc>
        <w:tc>
          <w:tcPr>
            <w:tcW w:w="600" w:type="dxa"/>
            <w:tcBorders>
              <w:top w:val="nil"/>
              <w:left w:val="nil"/>
              <w:bottom w:val="single" w:sz="4" w:space="0" w:color="000000"/>
              <w:right w:val="single" w:sz="4" w:space="0" w:color="000000"/>
            </w:tcBorders>
            <w:shd w:val="clear" w:color="auto" w:fill="auto"/>
            <w:noWrap/>
            <w:vAlign w:val="bottom"/>
            <w:hideMark/>
          </w:tcPr>
          <w:p w14:paraId="7AEBFAC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23.2</w:t>
            </w:r>
          </w:p>
        </w:tc>
        <w:tc>
          <w:tcPr>
            <w:tcW w:w="600" w:type="dxa"/>
            <w:tcBorders>
              <w:top w:val="nil"/>
              <w:left w:val="nil"/>
              <w:bottom w:val="single" w:sz="4" w:space="0" w:color="000000"/>
              <w:right w:val="single" w:sz="4" w:space="0" w:color="000000"/>
            </w:tcBorders>
            <w:shd w:val="clear" w:color="auto" w:fill="auto"/>
            <w:noWrap/>
            <w:vAlign w:val="bottom"/>
            <w:hideMark/>
          </w:tcPr>
          <w:p w14:paraId="4A01418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23.4</w:t>
            </w:r>
          </w:p>
        </w:tc>
        <w:tc>
          <w:tcPr>
            <w:tcW w:w="585" w:type="dxa"/>
            <w:tcBorders>
              <w:top w:val="nil"/>
              <w:left w:val="nil"/>
              <w:bottom w:val="single" w:sz="4" w:space="0" w:color="000000"/>
              <w:right w:val="single" w:sz="4" w:space="0" w:color="000000"/>
            </w:tcBorders>
            <w:shd w:val="clear" w:color="auto" w:fill="auto"/>
            <w:noWrap/>
            <w:vAlign w:val="bottom"/>
            <w:hideMark/>
          </w:tcPr>
          <w:p w14:paraId="2D3C5ED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22.7</w:t>
            </w:r>
          </w:p>
        </w:tc>
        <w:tc>
          <w:tcPr>
            <w:tcW w:w="585" w:type="dxa"/>
            <w:tcBorders>
              <w:top w:val="nil"/>
              <w:left w:val="nil"/>
              <w:bottom w:val="single" w:sz="4" w:space="0" w:color="000000"/>
              <w:right w:val="single" w:sz="4" w:space="0" w:color="000000"/>
            </w:tcBorders>
            <w:shd w:val="clear" w:color="auto" w:fill="auto"/>
            <w:noWrap/>
            <w:vAlign w:val="bottom"/>
            <w:hideMark/>
          </w:tcPr>
          <w:p w14:paraId="000E524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23.8</w:t>
            </w:r>
          </w:p>
        </w:tc>
        <w:tc>
          <w:tcPr>
            <w:tcW w:w="600" w:type="dxa"/>
            <w:tcBorders>
              <w:top w:val="nil"/>
              <w:left w:val="nil"/>
              <w:bottom w:val="single" w:sz="4" w:space="0" w:color="000000"/>
              <w:right w:val="single" w:sz="4" w:space="0" w:color="000000"/>
            </w:tcBorders>
            <w:shd w:val="clear" w:color="auto" w:fill="auto"/>
            <w:noWrap/>
            <w:vAlign w:val="bottom"/>
            <w:hideMark/>
          </w:tcPr>
          <w:p w14:paraId="4077BCF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23.8</w:t>
            </w:r>
          </w:p>
        </w:tc>
        <w:tc>
          <w:tcPr>
            <w:tcW w:w="585" w:type="dxa"/>
            <w:tcBorders>
              <w:top w:val="nil"/>
              <w:left w:val="nil"/>
              <w:bottom w:val="single" w:sz="4" w:space="0" w:color="000000"/>
              <w:right w:val="single" w:sz="4" w:space="0" w:color="000000"/>
            </w:tcBorders>
            <w:shd w:val="clear" w:color="auto" w:fill="auto"/>
            <w:noWrap/>
            <w:vAlign w:val="bottom"/>
            <w:hideMark/>
          </w:tcPr>
          <w:p w14:paraId="4C99590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23.7</w:t>
            </w:r>
          </w:p>
        </w:tc>
        <w:tc>
          <w:tcPr>
            <w:tcW w:w="600" w:type="dxa"/>
            <w:tcBorders>
              <w:top w:val="nil"/>
              <w:left w:val="nil"/>
              <w:bottom w:val="single" w:sz="4" w:space="0" w:color="000000"/>
              <w:right w:val="single" w:sz="4" w:space="0" w:color="000000"/>
            </w:tcBorders>
            <w:shd w:val="clear" w:color="auto" w:fill="auto"/>
            <w:noWrap/>
            <w:vAlign w:val="bottom"/>
            <w:hideMark/>
          </w:tcPr>
          <w:p w14:paraId="31F8337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24.4</w:t>
            </w:r>
          </w:p>
        </w:tc>
        <w:tc>
          <w:tcPr>
            <w:tcW w:w="585" w:type="dxa"/>
            <w:tcBorders>
              <w:top w:val="nil"/>
              <w:left w:val="nil"/>
              <w:bottom w:val="single" w:sz="4" w:space="0" w:color="000000"/>
              <w:right w:val="single" w:sz="4" w:space="0" w:color="000000"/>
            </w:tcBorders>
            <w:shd w:val="clear" w:color="auto" w:fill="auto"/>
            <w:noWrap/>
            <w:vAlign w:val="bottom"/>
            <w:hideMark/>
          </w:tcPr>
          <w:p w14:paraId="19DBF7C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25.0</w:t>
            </w:r>
          </w:p>
        </w:tc>
      </w:tr>
      <w:tr w:rsidR="00916C90" w:rsidRPr="00AB56A1" w14:paraId="20DC9F40" w14:textId="77777777" w:rsidTr="00E51609">
        <w:trPr>
          <w:trHeight w:val="290"/>
        </w:trPr>
        <w:tc>
          <w:tcPr>
            <w:tcW w:w="1560" w:type="dxa"/>
            <w:tcBorders>
              <w:top w:val="nil"/>
              <w:left w:val="single" w:sz="4" w:space="0" w:color="000000"/>
              <w:bottom w:val="single" w:sz="4" w:space="0" w:color="000000"/>
              <w:right w:val="single" w:sz="4" w:space="0" w:color="000000"/>
            </w:tcBorders>
            <w:shd w:val="clear" w:color="000000" w:fill="99CCFF"/>
            <w:noWrap/>
            <w:vAlign w:val="bottom"/>
            <w:hideMark/>
          </w:tcPr>
          <w:p w14:paraId="304E8A5F"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Slovakia</w:t>
            </w:r>
          </w:p>
        </w:tc>
        <w:tc>
          <w:tcPr>
            <w:tcW w:w="180" w:type="dxa"/>
            <w:tcBorders>
              <w:top w:val="nil"/>
              <w:left w:val="nil"/>
              <w:bottom w:val="single" w:sz="8" w:space="0" w:color="auto"/>
              <w:right w:val="single" w:sz="8" w:space="0" w:color="auto"/>
            </w:tcBorders>
            <w:shd w:val="clear" w:color="auto" w:fill="auto"/>
            <w:noWrap/>
            <w:vAlign w:val="center"/>
            <w:hideMark/>
          </w:tcPr>
          <w:p w14:paraId="501F361A"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w:t>
            </w:r>
          </w:p>
        </w:tc>
        <w:tc>
          <w:tcPr>
            <w:tcW w:w="620" w:type="dxa"/>
            <w:tcBorders>
              <w:top w:val="nil"/>
              <w:left w:val="nil"/>
              <w:bottom w:val="single" w:sz="8" w:space="0" w:color="auto"/>
              <w:right w:val="single" w:sz="8" w:space="0" w:color="auto"/>
            </w:tcBorders>
            <w:shd w:val="clear" w:color="auto" w:fill="auto"/>
            <w:noWrap/>
            <w:vAlign w:val="center"/>
            <w:hideMark/>
          </w:tcPr>
          <w:p w14:paraId="586B6A3F"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26.2</w:t>
            </w:r>
          </w:p>
        </w:tc>
        <w:tc>
          <w:tcPr>
            <w:tcW w:w="600" w:type="dxa"/>
            <w:tcBorders>
              <w:top w:val="nil"/>
              <w:left w:val="single" w:sz="4" w:space="0" w:color="000000"/>
              <w:bottom w:val="single" w:sz="4" w:space="0" w:color="000000"/>
              <w:right w:val="single" w:sz="4" w:space="0" w:color="000000"/>
            </w:tcBorders>
            <w:shd w:val="clear" w:color="auto" w:fill="auto"/>
            <w:noWrap/>
            <w:vAlign w:val="bottom"/>
            <w:hideMark/>
          </w:tcPr>
          <w:p w14:paraId="2BD7D4D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28.1</w:t>
            </w:r>
          </w:p>
        </w:tc>
        <w:tc>
          <w:tcPr>
            <w:tcW w:w="600" w:type="dxa"/>
            <w:tcBorders>
              <w:top w:val="nil"/>
              <w:left w:val="nil"/>
              <w:bottom w:val="single" w:sz="4" w:space="0" w:color="000000"/>
              <w:right w:val="single" w:sz="4" w:space="0" w:color="000000"/>
            </w:tcBorders>
            <w:shd w:val="clear" w:color="auto" w:fill="auto"/>
            <w:noWrap/>
            <w:vAlign w:val="bottom"/>
            <w:hideMark/>
          </w:tcPr>
          <w:p w14:paraId="120C3F4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24.5</w:t>
            </w:r>
          </w:p>
        </w:tc>
        <w:tc>
          <w:tcPr>
            <w:tcW w:w="600" w:type="dxa"/>
            <w:tcBorders>
              <w:top w:val="nil"/>
              <w:left w:val="nil"/>
              <w:bottom w:val="single" w:sz="4" w:space="0" w:color="000000"/>
              <w:right w:val="single" w:sz="4" w:space="0" w:color="000000"/>
            </w:tcBorders>
            <w:shd w:val="clear" w:color="auto" w:fill="auto"/>
            <w:noWrap/>
            <w:vAlign w:val="bottom"/>
            <w:hideMark/>
          </w:tcPr>
          <w:p w14:paraId="7AE4491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23.7</w:t>
            </w:r>
          </w:p>
        </w:tc>
        <w:tc>
          <w:tcPr>
            <w:tcW w:w="585" w:type="dxa"/>
            <w:tcBorders>
              <w:top w:val="nil"/>
              <w:left w:val="nil"/>
              <w:bottom w:val="single" w:sz="4" w:space="0" w:color="000000"/>
              <w:right w:val="single" w:sz="4" w:space="0" w:color="000000"/>
            </w:tcBorders>
            <w:shd w:val="clear" w:color="auto" w:fill="auto"/>
            <w:noWrap/>
            <w:vAlign w:val="bottom"/>
            <w:hideMark/>
          </w:tcPr>
          <w:p w14:paraId="22D5612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24.8</w:t>
            </w:r>
          </w:p>
        </w:tc>
        <w:tc>
          <w:tcPr>
            <w:tcW w:w="585" w:type="dxa"/>
            <w:tcBorders>
              <w:top w:val="nil"/>
              <w:left w:val="nil"/>
              <w:bottom w:val="single" w:sz="4" w:space="0" w:color="000000"/>
              <w:right w:val="single" w:sz="4" w:space="0" w:color="000000"/>
            </w:tcBorders>
            <w:shd w:val="clear" w:color="auto" w:fill="auto"/>
            <w:noWrap/>
            <w:vAlign w:val="bottom"/>
            <w:hideMark/>
          </w:tcPr>
          <w:p w14:paraId="6EFC246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25.9</w:t>
            </w:r>
          </w:p>
        </w:tc>
        <w:tc>
          <w:tcPr>
            <w:tcW w:w="600" w:type="dxa"/>
            <w:tcBorders>
              <w:top w:val="nil"/>
              <w:left w:val="nil"/>
              <w:bottom w:val="single" w:sz="4" w:space="0" w:color="000000"/>
              <w:right w:val="single" w:sz="4" w:space="0" w:color="000000"/>
            </w:tcBorders>
            <w:shd w:val="clear" w:color="auto" w:fill="auto"/>
            <w:noWrap/>
            <w:vAlign w:val="bottom"/>
            <w:hideMark/>
          </w:tcPr>
          <w:p w14:paraId="5A0D4F1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25.7</w:t>
            </w:r>
          </w:p>
        </w:tc>
        <w:tc>
          <w:tcPr>
            <w:tcW w:w="585" w:type="dxa"/>
            <w:tcBorders>
              <w:top w:val="nil"/>
              <w:left w:val="nil"/>
              <w:bottom w:val="single" w:sz="4" w:space="0" w:color="000000"/>
              <w:right w:val="single" w:sz="4" w:space="0" w:color="000000"/>
            </w:tcBorders>
            <w:shd w:val="clear" w:color="auto" w:fill="auto"/>
            <w:noWrap/>
            <w:vAlign w:val="bottom"/>
            <w:hideMark/>
          </w:tcPr>
          <w:p w14:paraId="4BA0373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25.3</w:t>
            </w:r>
          </w:p>
        </w:tc>
        <w:tc>
          <w:tcPr>
            <w:tcW w:w="600" w:type="dxa"/>
            <w:tcBorders>
              <w:top w:val="nil"/>
              <w:left w:val="nil"/>
              <w:bottom w:val="single" w:sz="4" w:space="0" w:color="000000"/>
              <w:right w:val="single" w:sz="4" w:space="0" w:color="000000"/>
            </w:tcBorders>
            <w:shd w:val="clear" w:color="auto" w:fill="auto"/>
            <w:noWrap/>
            <w:vAlign w:val="bottom"/>
            <w:hideMark/>
          </w:tcPr>
          <w:p w14:paraId="5C74121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24.2</w:t>
            </w:r>
          </w:p>
        </w:tc>
        <w:tc>
          <w:tcPr>
            <w:tcW w:w="585" w:type="dxa"/>
            <w:tcBorders>
              <w:top w:val="nil"/>
              <w:left w:val="nil"/>
              <w:bottom w:val="single" w:sz="4" w:space="0" w:color="000000"/>
              <w:right w:val="single" w:sz="4" w:space="0" w:color="000000"/>
            </w:tcBorders>
            <w:shd w:val="clear" w:color="auto" w:fill="auto"/>
            <w:noWrap/>
            <w:vAlign w:val="bottom"/>
            <w:hideMark/>
          </w:tcPr>
          <w:p w14:paraId="6BE73B5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26.1</w:t>
            </w:r>
          </w:p>
        </w:tc>
      </w:tr>
    </w:tbl>
    <w:p w14:paraId="10AB6C51" w14:textId="7BCEF13F"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Source: Eurostat</w:t>
      </w:r>
      <w:r w:rsidR="00F57446">
        <w:rPr>
          <w:rFonts w:ascii="Times New Roman" w:hAnsi="Times New Roman"/>
          <w:sz w:val="24"/>
          <w:szCs w:val="24"/>
        </w:rPr>
        <w:t xml:space="preserve"> database</w:t>
      </w:r>
    </w:p>
    <w:p w14:paraId="1B6707AA"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p>
    <w:p w14:paraId="5A9DCCFD" w14:textId="77777777"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While observing the above-presented data, we can state </w:t>
      </w:r>
      <w:r w:rsidR="00DE7992">
        <w:rPr>
          <w:rFonts w:ascii="Times New Roman" w:hAnsi="Times New Roman"/>
          <w:sz w:val="24"/>
          <w:szCs w:val="24"/>
        </w:rPr>
        <w:t xml:space="preserve">the </w:t>
      </w:r>
      <w:r w:rsidRPr="00AB56A1">
        <w:rPr>
          <w:rFonts w:ascii="Times New Roman" w:hAnsi="Times New Roman"/>
          <w:sz w:val="24"/>
          <w:szCs w:val="24"/>
        </w:rPr>
        <w:t>occurrence of some regularities.</w:t>
      </w:r>
    </w:p>
    <w:p w14:paraId="72CDE3A5" w14:textId="71E781BB"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First of all, the first years of membership, i.e. the period from 2004 to 2007</w:t>
      </w:r>
      <w:r w:rsidR="00DE7992">
        <w:rPr>
          <w:rFonts w:ascii="Times New Roman" w:hAnsi="Times New Roman"/>
          <w:sz w:val="24"/>
          <w:szCs w:val="24"/>
        </w:rPr>
        <w:t>,</w:t>
      </w:r>
      <w:r w:rsidRPr="00AB56A1">
        <w:rPr>
          <w:rFonts w:ascii="Times New Roman" w:hAnsi="Times New Roman"/>
          <w:sz w:val="24"/>
          <w:szCs w:val="24"/>
        </w:rPr>
        <w:t xml:space="preserve"> involve a decrease in the income inequalities scale. Exceptions here are Bulgaria and Romania that joined the EU in 2007 and an increase in income disparities indexes was also observed there. Such fast growths of </w:t>
      </w:r>
      <w:r w:rsidR="00DE7992">
        <w:rPr>
          <w:rFonts w:ascii="Times New Roman" w:hAnsi="Times New Roman"/>
          <w:sz w:val="24"/>
          <w:szCs w:val="24"/>
        </w:rPr>
        <w:t xml:space="preserve">the </w:t>
      </w:r>
      <w:r w:rsidRPr="00AB56A1">
        <w:rPr>
          <w:rFonts w:ascii="Times New Roman" w:hAnsi="Times New Roman"/>
          <w:sz w:val="24"/>
          <w:szCs w:val="24"/>
        </w:rPr>
        <w:t xml:space="preserve">Gini coefficient that occur in </w:t>
      </w:r>
      <w:r w:rsidR="00DE7992">
        <w:rPr>
          <w:rFonts w:ascii="Times New Roman" w:hAnsi="Times New Roman"/>
          <w:sz w:val="24"/>
          <w:szCs w:val="24"/>
        </w:rPr>
        <w:t xml:space="preserve">a </w:t>
      </w:r>
      <w:r w:rsidRPr="00AB56A1">
        <w:rPr>
          <w:rFonts w:ascii="Times New Roman" w:hAnsi="Times New Roman"/>
          <w:sz w:val="24"/>
          <w:szCs w:val="24"/>
        </w:rPr>
        <w:t xml:space="preserve">economy that is not subjected to fundamental shocks and there is no drastic change in </w:t>
      </w:r>
      <w:r w:rsidR="00DE7992">
        <w:rPr>
          <w:rFonts w:ascii="Times New Roman" w:hAnsi="Times New Roman"/>
          <w:sz w:val="24"/>
          <w:szCs w:val="24"/>
        </w:rPr>
        <w:t xml:space="preserve">the </w:t>
      </w:r>
      <w:r w:rsidRPr="00AB56A1">
        <w:rPr>
          <w:rFonts w:ascii="Times New Roman" w:hAnsi="Times New Roman"/>
          <w:sz w:val="24"/>
          <w:szCs w:val="24"/>
        </w:rPr>
        <w:t>economic policy</w:t>
      </w:r>
      <w:r w:rsidR="00DE7992">
        <w:rPr>
          <w:rFonts w:ascii="Times New Roman" w:hAnsi="Times New Roman"/>
          <w:sz w:val="24"/>
          <w:szCs w:val="24"/>
        </w:rPr>
        <w:t xml:space="preserve"> increase</w:t>
      </w:r>
      <w:r w:rsidRPr="00AB56A1">
        <w:rPr>
          <w:rFonts w:ascii="Times New Roman" w:hAnsi="Times New Roman"/>
          <w:sz w:val="24"/>
          <w:szCs w:val="24"/>
        </w:rPr>
        <w:t xml:space="preserve"> doubts in the matter of </w:t>
      </w:r>
      <w:r w:rsidR="00DE7992">
        <w:rPr>
          <w:rFonts w:ascii="Times New Roman" w:hAnsi="Times New Roman"/>
          <w:sz w:val="24"/>
          <w:szCs w:val="24"/>
        </w:rPr>
        <w:t xml:space="preserve">the </w:t>
      </w:r>
      <w:r w:rsidRPr="00AB56A1">
        <w:rPr>
          <w:rFonts w:ascii="Times New Roman" w:hAnsi="Times New Roman"/>
          <w:sz w:val="24"/>
          <w:szCs w:val="24"/>
        </w:rPr>
        <w:t xml:space="preserve">correctness of measurement of income distribution. </w:t>
      </w:r>
      <w:r w:rsidR="00F6479F">
        <w:rPr>
          <w:rFonts w:ascii="Times New Roman" w:hAnsi="Times New Roman"/>
          <w:sz w:val="24"/>
          <w:szCs w:val="24"/>
        </w:rPr>
        <w:t>One can suspect</w:t>
      </w:r>
      <w:r w:rsidRPr="00AB56A1">
        <w:rPr>
          <w:rFonts w:ascii="Times New Roman" w:hAnsi="Times New Roman"/>
          <w:sz w:val="24"/>
          <w:szCs w:val="24"/>
        </w:rPr>
        <w:t xml:space="preserve"> that the accession to the EU, which entails a necessity to report </w:t>
      </w:r>
      <w:r w:rsidR="00DE7992">
        <w:rPr>
          <w:rFonts w:ascii="Times New Roman" w:hAnsi="Times New Roman"/>
          <w:sz w:val="24"/>
          <w:szCs w:val="24"/>
        </w:rPr>
        <w:t xml:space="preserve">the </w:t>
      </w:r>
      <w:r w:rsidRPr="00AB56A1">
        <w:rPr>
          <w:rFonts w:ascii="Times New Roman" w:hAnsi="Times New Roman"/>
          <w:sz w:val="24"/>
          <w:szCs w:val="24"/>
        </w:rPr>
        <w:t xml:space="preserve">statistics of </w:t>
      </w:r>
      <w:r w:rsidR="00DE7992">
        <w:rPr>
          <w:rFonts w:ascii="Times New Roman" w:hAnsi="Times New Roman"/>
          <w:sz w:val="24"/>
          <w:szCs w:val="24"/>
        </w:rPr>
        <w:t xml:space="preserve">the </w:t>
      </w:r>
      <w:r w:rsidRPr="00AB56A1">
        <w:rPr>
          <w:rFonts w:ascii="Times New Roman" w:hAnsi="Times New Roman"/>
          <w:sz w:val="24"/>
          <w:szCs w:val="24"/>
        </w:rPr>
        <w:t xml:space="preserve">specified methodology to Eurostat, revealed another reality – the actual inequalities were higher </w:t>
      </w:r>
      <w:r w:rsidR="00DE7992" w:rsidRPr="00AB56A1">
        <w:rPr>
          <w:rFonts w:ascii="Times New Roman" w:hAnsi="Times New Roman"/>
          <w:sz w:val="24"/>
          <w:szCs w:val="24"/>
        </w:rPr>
        <w:t>tha</w:t>
      </w:r>
      <w:r w:rsidR="00DE7992">
        <w:rPr>
          <w:rFonts w:ascii="Times New Roman" w:hAnsi="Times New Roman"/>
          <w:sz w:val="24"/>
          <w:szCs w:val="24"/>
        </w:rPr>
        <w:t>n</w:t>
      </w:r>
      <w:r w:rsidR="00DE7992" w:rsidRPr="00AB56A1">
        <w:rPr>
          <w:rFonts w:ascii="Times New Roman" w:hAnsi="Times New Roman"/>
          <w:sz w:val="24"/>
          <w:szCs w:val="24"/>
        </w:rPr>
        <w:t xml:space="preserve"> </w:t>
      </w:r>
      <w:r w:rsidRPr="00AB56A1">
        <w:rPr>
          <w:rFonts w:ascii="Times New Roman" w:hAnsi="Times New Roman"/>
          <w:sz w:val="24"/>
          <w:szCs w:val="24"/>
        </w:rPr>
        <w:t>the sta</w:t>
      </w:r>
      <w:r w:rsidR="00F6479F">
        <w:rPr>
          <w:rFonts w:ascii="Times New Roman" w:hAnsi="Times New Roman"/>
          <w:sz w:val="24"/>
          <w:szCs w:val="24"/>
        </w:rPr>
        <w:t>tistics revealed</w:t>
      </w:r>
      <w:r w:rsidRPr="00AB56A1">
        <w:rPr>
          <w:rFonts w:ascii="Times New Roman" w:hAnsi="Times New Roman"/>
          <w:sz w:val="24"/>
          <w:szCs w:val="24"/>
        </w:rPr>
        <w:t>.</w:t>
      </w:r>
    </w:p>
    <w:p w14:paraId="5FA313B2" w14:textId="0C85AA65"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Secondly, the inequalities drop process has been inhibited in most countries and even reversed since 2008. Disparities, with few exceptions, start</w:t>
      </w:r>
      <w:r w:rsidR="00DE7992">
        <w:rPr>
          <w:rFonts w:ascii="Times New Roman" w:hAnsi="Times New Roman"/>
          <w:sz w:val="24"/>
          <w:szCs w:val="24"/>
        </w:rPr>
        <w:t>ed</w:t>
      </w:r>
      <w:r w:rsidRPr="00AB56A1">
        <w:rPr>
          <w:rFonts w:ascii="Times New Roman" w:hAnsi="Times New Roman"/>
          <w:sz w:val="24"/>
          <w:szCs w:val="24"/>
        </w:rPr>
        <w:t xml:space="preserve"> </w:t>
      </w:r>
      <w:r w:rsidR="00DE7992">
        <w:rPr>
          <w:rFonts w:ascii="Times New Roman" w:hAnsi="Times New Roman"/>
          <w:sz w:val="24"/>
          <w:szCs w:val="24"/>
        </w:rPr>
        <w:t>growing</w:t>
      </w:r>
      <w:r w:rsidRPr="00AB56A1">
        <w:rPr>
          <w:rFonts w:ascii="Times New Roman" w:hAnsi="Times New Roman"/>
          <w:sz w:val="24"/>
          <w:szCs w:val="24"/>
        </w:rPr>
        <w:t>.</w:t>
      </w:r>
    </w:p>
    <w:p w14:paraId="0E377D17" w14:textId="6EB08391"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 xml:space="preserve">The second regularity cannot be associated with membership in the EU, but rather with the course of </w:t>
      </w:r>
      <w:r w:rsidR="00DE7992">
        <w:rPr>
          <w:rFonts w:ascii="Times New Roman" w:hAnsi="Times New Roman"/>
          <w:sz w:val="24"/>
          <w:szCs w:val="24"/>
        </w:rPr>
        <w:t xml:space="preserve">the </w:t>
      </w:r>
      <w:r w:rsidRPr="00AB56A1">
        <w:rPr>
          <w:rFonts w:ascii="Times New Roman" w:hAnsi="Times New Roman"/>
          <w:sz w:val="24"/>
          <w:szCs w:val="24"/>
        </w:rPr>
        <w:t xml:space="preserve">crisis in </w:t>
      </w:r>
      <w:r w:rsidRPr="00AB56A1">
        <w:rPr>
          <w:rFonts w:ascii="Times New Roman" w:eastAsia="Times New Roman" w:hAnsi="Times New Roman" w:cs="Times New Roman"/>
          <w:sz w:val="24"/>
          <w:szCs w:val="24"/>
          <w:vertAlign w:val="superscript"/>
        </w:rPr>
        <w:footnoteReference w:id="7"/>
      </w:r>
      <w:r w:rsidRPr="00AB56A1">
        <w:rPr>
          <w:rFonts w:ascii="Times New Roman" w:hAnsi="Times New Roman"/>
          <w:sz w:val="24"/>
          <w:szCs w:val="24"/>
        </w:rPr>
        <w:t xml:space="preserve">particular </w:t>
      </w:r>
      <w:r w:rsidR="00DE7992" w:rsidRPr="00AB56A1">
        <w:rPr>
          <w:rFonts w:ascii="Times New Roman" w:hAnsi="Times New Roman"/>
          <w:sz w:val="24"/>
          <w:szCs w:val="24"/>
        </w:rPr>
        <w:t>countrie</w:t>
      </w:r>
      <w:r w:rsidR="00DE7992">
        <w:rPr>
          <w:rFonts w:ascii="Times New Roman" w:hAnsi="Times New Roman"/>
          <w:sz w:val="24"/>
          <w:szCs w:val="24"/>
        </w:rPr>
        <w:t>s.</w:t>
      </w:r>
      <w:r w:rsidR="00DE7992" w:rsidRPr="00AB56A1">
        <w:rPr>
          <w:rFonts w:ascii="Times New Roman" w:hAnsi="Times New Roman"/>
          <w:sz w:val="24"/>
          <w:szCs w:val="24"/>
        </w:rPr>
        <w:t xml:space="preserve"> </w:t>
      </w:r>
      <w:r w:rsidRPr="00AB56A1">
        <w:rPr>
          <w:rFonts w:ascii="Times New Roman" w:hAnsi="Times New Roman"/>
          <w:sz w:val="24"/>
          <w:szCs w:val="24"/>
        </w:rPr>
        <w:t xml:space="preserve">The entry of </w:t>
      </w:r>
      <w:r w:rsidR="001D3E49">
        <w:rPr>
          <w:rFonts w:ascii="Times New Roman" w:hAnsi="Times New Roman"/>
          <w:sz w:val="24"/>
          <w:szCs w:val="24"/>
        </w:rPr>
        <w:t xml:space="preserve">the </w:t>
      </w:r>
      <w:r w:rsidRPr="00AB56A1">
        <w:rPr>
          <w:rFonts w:ascii="Times New Roman" w:hAnsi="Times New Roman"/>
          <w:sz w:val="24"/>
          <w:szCs w:val="24"/>
        </w:rPr>
        <w:t xml:space="preserve">economy into recession had a negative impact on </w:t>
      </w:r>
      <w:r w:rsidR="001D3E49">
        <w:rPr>
          <w:rFonts w:ascii="Times New Roman" w:hAnsi="Times New Roman"/>
          <w:sz w:val="24"/>
          <w:szCs w:val="24"/>
        </w:rPr>
        <w:t xml:space="preserve">the </w:t>
      </w:r>
      <w:r w:rsidRPr="00AB56A1">
        <w:rPr>
          <w:rFonts w:ascii="Times New Roman" w:hAnsi="Times New Roman"/>
          <w:sz w:val="24"/>
          <w:szCs w:val="24"/>
        </w:rPr>
        <w:t xml:space="preserve">dynamics of incomes of household with </w:t>
      </w:r>
      <w:r w:rsidR="001D3E49">
        <w:rPr>
          <w:rFonts w:ascii="Times New Roman" w:hAnsi="Times New Roman"/>
          <w:sz w:val="24"/>
          <w:szCs w:val="24"/>
        </w:rPr>
        <w:t xml:space="preserve">the </w:t>
      </w:r>
      <w:r w:rsidRPr="00AB56A1">
        <w:rPr>
          <w:rFonts w:ascii="Times New Roman" w:hAnsi="Times New Roman"/>
          <w:sz w:val="24"/>
          <w:szCs w:val="24"/>
        </w:rPr>
        <w:t xml:space="preserve">participation of the least qualified workers, so the general disparities indexes increase. Such thesis is confirmed by </w:t>
      </w:r>
      <w:r w:rsidR="001D3E49">
        <w:rPr>
          <w:rFonts w:ascii="Times New Roman" w:hAnsi="Times New Roman"/>
          <w:sz w:val="24"/>
          <w:szCs w:val="24"/>
        </w:rPr>
        <w:t xml:space="preserve">the </w:t>
      </w:r>
      <w:r w:rsidRPr="00AB56A1">
        <w:rPr>
          <w:rFonts w:ascii="Times New Roman" w:hAnsi="Times New Roman"/>
          <w:sz w:val="24"/>
          <w:szCs w:val="24"/>
        </w:rPr>
        <w:t xml:space="preserve">situation of Poland that was the only state that avoided recession and </w:t>
      </w:r>
      <w:r w:rsidR="001D3E49">
        <w:rPr>
          <w:rFonts w:ascii="Times New Roman" w:hAnsi="Times New Roman"/>
          <w:sz w:val="24"/>
          <w:szCs w:val="24"/>
        </w:rPr>
        <w:t xml:space="preserve">the </w:t>
      </w:r>
      <w:r w:rsidRPr="00AB56A1">
        <w:rPr>
          <w:rFonts w:ascii="Times New Roman" w:hAnsi="Times New Roman"/>
          <w:sz w:val="24"/>
          <w:szCs w:val="24"/>
        </w:rPr>
        <w:t>income inequalities have been decreasing there all the time.</w:t>
      </w:r>
    </w:p>
    <w:p w14:paraId="01C6A4A4" w14:textId="25804146"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 xml:space="preserve">It should be noted that the inequalities </w:t>
      </w:r>
      <w:r w:rsidR="001D3E49">
        <w:rPr>
          <w:rFonts w:ascii="Times New Roman" w:hAnsi="Times New Roman"/>
          <w:sz w:val="24"/>
          <w:szCs w:val="24"/>
        </w:rPr>
        <w:t>grew</w:t>
      </w:r>
      <w:r w:rsidR="001D3E49" w:rsidRPr="00AB56A1">
        <w:rPr>
          <w:rFonts w:ascii="Times New Roman" w:hAnsi="Times New Roman"/>
          <w:sz w:val="24"/>
          <w:szCs w:val="24"/>
        </w:rPr>
        <w:t xml:space="preserve"> </w:t>
      </w:r>
      <w:r w:rsidRPr="00AB56A1">
        <w:rPr>
          <w:rFonts w:ascii="Times New Roman" w:hAnsi="Times New Roman"/>
          <w:sz w:val="24"/>
          <w:szCs w:val="24"/>
        </w:rPr>
        <w:t xml:space="preserve">during the crisis (2007-2010) where a deep recession was observed, i.e. in Baltic countries. An additional factor that worsens indicators of social cohesion in these countries was a necessity to conduct a fast fiscal adjustment, which resulted from </w:t>
      </w:r>
      <w:r w:rsidR="001D3E49">
        <w:rPr>
          <w:rFonts w:ascii="Times New Roman" w:hAnsi="Times New Roman"/>
          <w:sz w:val="24"/>
          <w:szCs w:val="24"/>
        </w:rPr>
        <w:t xml:space="preserve">the </w:t>
      </w:r>
      <w:r w:rsidRPr="00AB56A1">
        <w:rPr>
          <w:rFonts w:ascii="Times New Roman" w:hAnsi="Times New Roman"/>
          <w:sz w:val="24"/>
          <w:szCs w:val="24"/>
        </w:rPr>
        <w:t>willingness to join the Euro</w:t>
      </w:r>
      <w:r w:rsidR="001D3E49">
        <w:rPr>
          <w:rFonts w:ascii="Times New Roman" w:hAnsi="Times New Roman"/>
          <w:sz w:val="24"/>
          <w:szCs w:val="24"/>
        </w:rPr>
        <w:t xml:space="preserve"> </w:t>
      </w:r>
      <w:r w:rsidRPr="00AB56A1">
        <w:rPr>
          <w:rFonts w:ascii="Times New Roman" w:hAnsi="Times New Roman"/>
          <w:sz w:val="24"/>
          <w:szCs w:val="24"/>
        </w:rPr>
        <w:t>zone which entails an obligation to fulfil the Maastricht Criteria. In Lithuania and Latvia, the government deficit reached 9% GDP in 2010, while already in 2012 it was only 3.1 and 0.8% GDP</w:t>
      </w:r>
      <w:r w:rsidR="001D3E49">
        <w:rPr>
          <w:rFonts w:ascii="Times New Roman" w:hAnsi="Times New Roman"/>
          <w:sz w:val="24"/>
          <w:szCs w:val="24"/>
        </w:rPr>
        <w:t xml:space="preserve">, </w:t>
      </w:r>
      <w:r w:rsidR="001D3E49" w:rsidRPr="00AB56A1">
        <w:rPr>
          <w:rFonts w:ascii="Times New Roman" w:hAnsi="Times New Roman"/>
          <w:sz w:val="24"/>
          <w:szCs w:val="24"/>
        </w:rPr>
        <w:t>respectively</w:t>
      </w:r>
      <w:r w:rsidRPr="00AB56A1">
        <w:rPr>
          <w:rFonts w:ascii="Times New Roman" w:hAnsi="Times New Roman"/>
          <w:sz w:val="24"/>
          <w:szCs w:val="24"/>
        </w:rPr>
        <w:t xml:space="preserve">. The financial adjustment in an essential part was carried out </w:t>
      </w:r>
      <w:r w:rsidR="001D3E49">
        <w:rPr>
          <w:rFonts w:ascii="Times New Roman" w:hAnsi="Times New Roman"/>
          <w:sz w:val="24"/>
          <w:szCs w:val="24"/>
        </w:rPr>
        <w:t>through</w:t>
      </w:r>
      <w:r w:rsidR="001D3E49" w:rsidRPr="00AB56A1">
        <w:rPr>
          <w:rFonts w:ascii="Times New Roman" w:hAnsi="Times New Roman"/>
          <w:sz w:val="24"/>
          <w:szCs w:val="24"/>
        </w:rPr>
        <w:t xml:space="preserve"> </w:t>
      </w:r>
      <w:r w:rsidRPr="00AB56A1">
        <w:rPr>
          <w:rFonts w:ascii="Times New Roman" w:hAnsi="Times New Roman"/>
          <w:sz w:val="24"/>
          <w:szCs w:val="24"/>
        </w:rPr>
        <w:t>deep cuts in public expenditures. In the above-mentioned countries, between 2010 and 2012, the level of public expenditures decreased from 42.</w:t>
      </w:r>
      <w:r w:rsidR="001D3E49">
        <w:rPr>
          <w:rFonts w:ascii="Times New Roman" w:hAnsi="Times New Roman"/>
          <w:sz w:val="24"/>
          <w:szCs w:val="24"/>
        </w:rPr>
        <w:t>3</w:t>
      </w:r>
      <w:r w:rsidRPr="00AB56A1">
        <w:rPr>
          <w:rFonts w:ascii="Times New Roman" w:hAnsi="Times New Roman"/>
          <w:sz w:val="24"/>
          <w:szCs w:val="24"/>
        </w:rPr>
        <w:t>% GDP (Lithuania) and 44% GDP (Latvia) to 36.1 and 36% GDP</w:t>
      </w:r>
      <w:r w:rsidR="001D3E49">
        <w:rPr>
          <w:rFonts w:ascii="Times New Roman" w:hAnsi="Times New Roman"/>
          <w:sz w:val="24"/>
          <w:szCs w:val="24"/>
        </w:rPr>
        <w:t xml:space="preserve">, </w:t>
      </w:r>
      <w:r w:rsidR="001D3E49" w:rsidRPr="00AB56A1">
        <w:rPr>
          <w:rFonts w:ascii="Times New Roman" w:hAnsi="Times New Roman"/>
          <w:sz w:val="24"/>
          <w:szCs w:val="24"/>
        </w:rPr>
        <w:t>respectively</w:t>
      </w:r>
      <w:r w:rsidRPr="00AB56A1">
        <w:rPr>
          <w:rFonts w:ascii="Times New Roman" w:hAnsi="Times New Roman"/>
          <w:sz w:val="24"/>
          <w:szCs w:val="24"/>
        </w:rPr>
        <w:t xml:space="preserve"> (according to Eurostat data). The maintenance of social order in the face of a deep reduction of public expenditures was possible to a large extent thanks to massive emigration. It is </w:t>
      </w:r>
      <w:r w:rsidR="00A850D9">
        <w:rPr>
          <w:rFonts w:ascii="Times New Roman" w:hAnsi="Times New Roman"/>
          <w:sz w:val="24"/>
          <w:szCs w:val="24"/>
        </w:rPr>
        <w:t>noteworthy that</w:t>
      </w:r>
      <w:r w:rsidRPr="00AB56A1">
        <w:rPr>
          <w:rFonts w:ascii="Times New Roman" w:hAnsi="Times New Roman"/>
          <w:sz w:val="24"/>
          <w:szCs w:val="24"/>
        </w:rPr>
        <w:t xml:space="preserve"> the data in Table 3.2 referring to Latvia in 2008-2011 – over </w:t>
      </w:r>
      <w:r w:rsidR="00A850D9">
        <w:rPr>
          <w:rFonts w:ascii="Times New Roman" w:hAnsi="Times New Roman"/>
          <w:sz w:val="24"/>
          <w:szCs w:val="24"/>
        </w:rPr>
        <w:t>100,000</w:t>
      </w:r>
      <w:r w:rsidRPr="00AB56A1">
        <w:rPr>
          <w:rFonts w:ascii="Times New Roman" w:hAnsi="Times New Roman"/>
          <w:sz w:val="24"/>
          <w:szCs w:val="24"/>
        </w:rPr>
        <w:t xml:space="preserve"> people left </w:t>
      </w:r>
      <w:r w:rsidR="00A850D9">
        <w:rPr>
          <w:rFonts w:ascii="Times New Roman" w:hAnsi="Times New Roman"/>
          <w:sz w:val="24"/>
          <w:szCs w:val="24"/>
        </w:rPr>
        <w:t>a</w:t>
      </w:r>
      <w:r w:rsidR="00A850D9" w:rsidRPr="00AB56A1">
        <w:rPr>
          <w:rFonts w:ascii="Times New Roman" w:hAnsi="Times New Roman"/>
          <w:sz w:val="24"/>
          <w:szCs w:val="24"/>
        </w:rPr>
        <w:t xml:space="preserve"> </w:t>
      </w:r>
      <w:r w:rsidRPr="00AB56A1">
        <w:rPr>
          <w:rFonts w:ascii="Times New Roman" w:hAnsi="Times New Roman"/>
          <w:sz w:val="24"/>
          <w:szCs w:val="24"/>
        </w:rPr>
        <w:t xml:space="preserve">country that has </w:t>
      </w:r>
      <w:r w:rsidR="00A850D9">
        <w:rPr>
          <w:rFonts w:ascii="Times New Roman" w:hAnsi="Times New Roman"/>
          <w:sz w:val="24"/>
          <w:szCs w:val="24"/>
        </w:rPr>
        <w:t>fewer</w:t>
      </w:r>
      <w:r w:rsidR="00A850D9" w:rsidRPr="00AB56A1">
        <w:rPr>
          <w:rFonts w:ascii="Times New Roman" w:hAnsi="Times New Roman"/>
          <w:sz w:val="24"/>
          <w:szCs w:val="24"/>
        </w:rPr>
        <w:t xml:space="preserve"> </w:t>
      </w:r>
      <w:r w:rsidRPr="00AB56A1">
        <w:rPr>
          <w:rFonts w:ascii="Times New Roman" w:hAnsi="Times New Roman"/>
          <w:sz w:val="24"/>
          <w:szCs w:val="24"/>
        </w:rPr>
        <w:t>than 2 million inhabitants.</w:t>
      </w:r>
    </w:p>
    <w:p w14:paraId="3CA6CD6B" w14:textId="6F263F24" w:rsidR="00916C90" w:rsidRDefault="00916C90" w:rsidP="00AB05A6">
      <w:pPr>
        <w:spacing w:after="0" w:line="360" w:lineRule="auto"/>
        <w:ind w:firstLine="708"/>
        <w:jc w:val="both"/>
        <w:rPr>
          <w:rFonts w:ascii="Times New Roman" w:hAnsi="Times New Roman"/>
          <w:sz w:val="24"/>
          <w:szCs w:val="24"/>
        </w:rPr>
      </w:pPr>
      <w:r w:rsidRPr="00AB56A1">
        <w:rPr>
          <w:rFonts w:ascii="Times New Roman" w:hAnsi="Times New Roman"/>
          <w:sz w:val="24"/>
          <w:szCs w:val="24"/>
        </w:rPr>
        <w:t xml:space="preserve">In the above-presented data concerning income inequalities in </w:t>
      </w:r>
      <w:r w:rsidR="001A0AB2">
        <w:rPr>
          <w:rFonts w:ascii="Times New Roman" w:hAnsi="Times New Roman"/>
          <w:sz w:val="24"/>
          <w:szCs w:val="24"/>
        </w:rPr>
        <w:t xml:space="preserve">the </w:t>
      </w:r>
      <w:r w:rsidRPr="00AB56A1">
        <w:rPr>
          <w:rFonts w:ascii="Times New Roman" w:hAnsi="Times New Roman"/>
          <w:sz w:val="24"/>
          <w:szCs w:val="24"/>
        </w:rPr>
        <w:t xml:space="preserve">so-called new EU members, we can clearly see </w:t>
      </w:r>
      <w:r w:rsidR="001A0AB2">
        <w:rPr>
          <w:rFonts w:ascii="Times New Roman" w:hAnsi="Times New Roman"/>
          <w:sz w:val="24"/>
          <w:szCs w:val="24"/>
        </w:rPr>
        <w:t xml:space="preserve">the </w:t>
      </w:r>
      <w:r w:rsidRPr="00AB56A1">
        <w:rPr>
          <w:rFonts w:ascii="Times New Roman" w:hAnsi="Times New Roman"/>
          <w:sz w:val="24"/>
          <w:szCs w:val="24"/>
        </w:rPr>
        <w:t xml:space="preserve">differences in social policy. </w:t>
      </w:r>
    </w:p>
    <w:p w14:paraId="29514D3A" w14:textId="77777777" w:rsidR="00D34A74" w:rsidRPr="00AB56A1" w:rsidRDefault="00D34A74" w:rsidP="00AB05A6">
      <w:pPr>
        <w:spacing w:after="0" w:line="360" w:lineRule="auto"/>
        <w:ind w:firstLine="708"/>
        <w:jc w:val="both"/>
        <w:rPr>
          <w:rFonts w:ascii="Times New Roman" w:eastAsia="Times New Roman" w:hAnsi="Times New Roman" w:cs="Times New Roman"/>
          <w:sz w:val="24"/>
          <w:szCs w:val="24"/>
        </w:rPr>
      </w:pPr>
    </w:p>
    <w:p w14:paraId="6623514C" w14:textId="77777777" w:rsidR="00916C90" w:rsidRPr="00AB56A1" w:rsidRDefault="00916C90" w:rsidP="00AB05A6">
      <w:pPr>
        <w:spacing w:after="0" w:line="360" w:lineRule="auto"/>
        <w:jc w:val="both"/>
        <w:rPr>
          <w:rFonts w:ascii="Times New Roman" w:eastAsia="Times New Roman" w:hAnsi="Times New Roman" w:cs="Times New Roman"/>
          <w:b/>
          <w:sz w:val="24"/>
          <w:szCs w:val="24"/>
        </w:rPr>
      </w:pPr>
      <w:r w:rsidRPr="00AB56A1">
        <w:rPr>
          <w:rFonts w:ascii="Times New Roman" w:hAnsi="Times New Roman"/>
          <w:b/>
          <w:sz w:val="24"/>
          <w:szCs w:val="24"/>
        </w:rPr>
        <w:t>Table 13. Labour markets in Central European countries – chosen data</w:t>
      </w:r>
    </w:p>
    <w:p w14:paraId="73F2AFC4"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 xml:space="preserve"> </w:t>
      </w:r>
    </w:p>
    <w:tbl>
      <w:tblPr>
        <w:tblW w:w="8784" w:type="dxa"/>
        <w:tblCellMar>
          <w:left w:w="70" w:type="dxa"/>
          <w:right w:w="70" w:type="dxa"/>
        </w:tblCellMar>
        <w:tblLook w:val="04A0" w:firstRow="1" w:lastRow="0" w:firstColumn="1" w:lastColumn="0" w:noHBand="0" w:noVBand="1"/>
      </w:tblPr>
      <w:tblGrid>
        <w:gridCol w:w="3681"/>
        <w:gridCol w:w="1164"/>
        <w:gridCol w:w="1134"/>
        <w:gridCol w:w="1417"/>
        <w:gridCol w:w="1418"/>
      </w:tblGrid>
      <w:tr w:rsidR="00916C90" w:rsidRPr="00AB56A1" w14:paraId="04271FB0" w14:textId="77777777" w:rsidTr="00205BDB">
        <w:trPr>
          <w:trHeight w:val="1000"/>
        </w:trPr>
        <w:tc>
          <w:tcPr>
            <w:tcW w:w="368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4DE644" w14:textId="77777777" w:rsidR="00916C90" w:rsidRPr="00AB56A1" w:rsidRDefault="00916C90" w:rsidP="00AB05A6">
            <w:pPr>
              <w:spacing w:after="0" w:line="360" w:lineRule="auto"/>
              <w:rPr>
                <w:rFonts w:ascii="Arial" w:eastAsia="Times New Roman" w:hAnsi="Arial" w:cs="Arial"/>
              </w:rPr>
            </w:pPr>
            <w:r w:rsidRPr="00AB56A1">
              <w:rPr>
                <w:rFonts w:ascii="Arial" w:hAnsi="Arial"/>
              </w:rPr>
              <w:t> </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0787A67C"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Self-employed - % of households</w:t>
            </w:r>
          </w:p>
        </w:tc>
        <w:tc>
          <w:tcPr>
            <w:tcW w:w="1134" w:type="dxa"/>
            <w:tcBorders>
              <w:top w:val="single" w:sz="4" w:space="0" w:color="000000"/>
              <w:left w:val="nil"/>
              <w:bottom w:val="single" w:sz="4" w:space="0" w:color="000000"/>
              <w:right w:val="single" w:sz="4" w:space="0" w:color="000000"/>
            </w:tcBorders>
            <w:shd w:val="clear" w:color="auto" w:fill="auto"/>
            <w:vAlign w:val="bottom"/>
            <w:hideMark/>
          </w:tcPr>
          <w:p w14:paraId="7A0A861C"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Share of wages in the GDP</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14:paraId="00C7E0AE"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Employees on fixed-term contracts - % of all employees</w:t>
            </w:r>
          </w:p>
        </w:tc>
        <w:tc>
          <w:tcPr>
            <w:tcW w:w="1418" w:type="dxa"/>
            <w:tcBorders>
              <w:top w:val="single" w:sz="4" w:space="0" w:color="000000"/>
              <w:left w:val="nil"/>
              <w:bottom w:val="single" w:sz="4" w:space="0" w:color="000000"/>
              <w:right w:val="single" w:sz="4" w:space="0" w:color="000000"/>
            </w:tcBorders>
            <w:shd w:val="clear" w:color="auto" w:fill="auto"/>
            <w:vAlign w:val="bottom"/>
            <w:hideMark/>
          </w:tcPr>
          <w:p w14:paraId="0F03141C"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Minimum wage - % of average wage in the economy</w:t>
            </w:r>
          </w:p>
        </w:tc>
      </w:tr>
      <w:tr w:rsidR="00916C90" w:rsidRPr="00AB56A1" w14:paraId="09EA6B28"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6BF753AD" w14:textId="77777777" w:rsidR="00916C90" w:rsidRPr="00AB56A1" w:rsidRDefault="00916C90" w:rsidP="00AB05A6">
            <w:pPr>
              <w:spacing w:after="0" w:line="360" w:lineRule="auto"/>
              <w:rPr>
                <w:rFonts w:ascii="Arial" w:eastAsia="Times New Roman" w:hAnsi="Arial" w:cs="Arial"/>
                <w:sz w:val="20"/>
                <w:szCs w:val="20"/>
                <w:lang w:eastAsia="pl-PL"/>
              </w:rPr>
            </w:pPr>
          </w:p>
        </w:tc>
        <w:tc>
          <w:tcPr>
            <w:tcW w:w="1134" w:type="dxa"/>
            <w:tcBorders>
              <w:top w:val="nil"/>
              <w:left w:val="nil"/>
              <w:bottom w:val="single" w:sz="4" w:space="0" w:color="000000"/>
              <w:right w:val="single" w:sz="4" w:space="0" w:color="000000"/>
            </w:tcBorders>
            <w:shd w:val="clear" w:color="000000" w:fill="FFFFFF"/>
            <w:noWrap/>
            <w:vAlign w:val="bottom"/>
            <w:hideMark/>
          </w:tcPr>
          <w:p w14:paraId="0A5206E7" w14:textId="77777777" w:rsidR="00916C90" w:rsidRPr="00AB56A1" w:rsidRDefault="00C75AA3" w:rsidP="00AB05A6">
            <w:pPr>
              <w:spacing w:after="0" w:line="360" w:lineRule="auto"/>
              <w:rPr>
                <w:rFonts w:ascii="Arial" w:eastAsia="Times New Roman" w:hAnsi="Arial" w:cs="Arial"/>
                <w:sz w:val="20"/>
                <w:szCs w:val="20"/>
              </w:rPr>
            </w:pPr>
            <w:r w:rsidRPr="00AB56A1">
              <w:rPr>
                <w:rFonts w:ascii="Arial" w:hAnsi="Arial"/>
                <w:sz w:val="20"/>
                <w:szCs w:val="20"/>
              </w:rPr>
              <w:t>2016</w:t>
            </w:r>
          </w:p>
        </w:tc>
        <w:tc>
          <w:tcPr>
            <w:tcW w:w="1134" w:type="dxa"/>
            <w:tcBorders>
              <w:top w:val="nil"/>
              <w:left w:val="nil"/>
              <w:bottom w:val="single" w:sz="4" w:space="0" w:color="000000"/>
              <w:right w:val="single" w:sz="4" w:space="0" w:color="000000"/>
            </w:tcBorders>
            <w:shd w:val="clear" w:color="auto" w:fill="auto"/>
            <w:noWrap/>
            <w:vAlign w:val="bottom"/>
            <w:hideMark/>
          </w:tcPr>
          <w:p w14:paraId="07DF8F22" w14:textId="77777777" w:rsidR="00916C90" w:rsidRPr="00AB56A1" w:rsidRDefault="00916C90" w:rsidP="00AB05A6">
            <w:pPr>
              <w:spacing w:after="0" w:line="360" w:lineRule="auto"/>
              <w:jc w:val="right"/>
              <w:rPr>
                <w:rFonts w:ascii="Arial" w:eastAsia="Times New Roman" w:hAnsi="Arial" w:cs="Arial"/>
              </w:rPr>
            </w:pPr>
            <w:r w:rsidRPr="00AB56A1">
              <w:rPr>
                <w:rFonts w:ascii="Arial" w:hAnsi="Arial"/>
              </w:rPr>
              <w:t>2016</w:t>
            </w:r>
          </w:p>
        </w:tc>
        <w:tc>
          <w:tcPr>
            <w:tcW w:w="1417" w:type="dxa"/>
            <w:tcBorders>
              <w:top w:val="nil"/>
              <w:left w:val="nil"/>
              <w:bottom w:val="single" w:sz="4" w:space="0" w:color="000000"/>
              <w:right w:val="single" w:sz="4" w:space="0" w:color="000000"/>
            </w:tcBorders>
            <w:shd w:val="clear" w:color="auto" w:fill="auto"/>
            <w:noWrap/>
            <w:vAlign w:val="bottom"/>
            <w:hideMark/>
          </w:tcPr>
          <w:p w14:paraId="2682BC35" w14:textId="77777777" w:rsidR="00916C90" w:rsidRPr="00AB56A1" w:rsidRDefault="00916C90" w:rsidP="00AB05A6">
            <w:pPr>
              <w:spacing w:after="0" w:line="360" w:lineRule="auto"/>
              <w:jc w:val="right"/>
              <w:rPr>
                <w:rFonts w:ascii="Arial" w:eastAsia="Times New Roman" w:hAnsi="Arial" w:cs="Arial"/>
              </w:rPr>
            </w:pPr>
            <w:r w:rsidRPr="00AB56A1">
              <w:rPr>
                <w:rFonts w:ascii="Arial" w:hAnsi="Arial"/>
              </w:rPr>
              <w:t>2016</w:t>
            </w:r>
          </w:p>
        </w:tc>
        <w:tc>
          <w:tcPr>
            <w:tcW w:w="1418" w:type="dxa"/>
            <w:tcBorders>
              <w:top w:val="nil"/>
              <w:left w:val="nil"/>
              <w:bottom w:val="single" w:sz="4" w:space="0" w:color="000000"/>
              <w:right w:val="single" w:sz="4" w:space="0" w:color="000000"/>
            </w:tcBorders>
            <w:shd w:val="clear" w:color="auto" w:fill="auto"/>
            <w:noWrap/>
            <w:vAlign w:val="bottom"/>
            <w:hideMark/>
          </w:tcPr>
          <w:p w14:paraId="007B0138" w14:textId="77777777" w:rsidR="00916C90" w:rsidRPr="00AB56A1" w:rsidRDefault="00916C90" w:rsidP="00AB05A6">
            <w:pPr>
              <w:spacing w:after="0" w:line="360" w:lineRule="auto"/>
              <w:jc w:val="right"/>
              <w:rPr>
                <w:rFonts w:ascii="Arial" w:eastAsia="Times New Roman" w:hAnsi="Arial" w:cs="Arial"/>
              </w:rPr>
            </w:pPr>
            <w:r w:rsidRPr="00AB56A1">
              <w:rPr>
                <w:rFonts w:ascii="Arial" w:hAnsi="Arial"/>
              </w:rPr>
              <w:t>2016</w:t>
            </w:r>
          </w:p>
        </w:tc>
      </w:tr>
      <w:tr w:rsidR="00916C90" w:rsidRPr="00AB56A1" w14:paraId="3EF1DE30"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011D9EA6"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EU (28 countries)</w:t>
            </w:r>
          </w:p>
        </w:tc>
        <w:tc>
          <w:tcPr>
            <w:tcW w:w="1134" w:type="dxa"/>
            <w:tcBorders>
              <w:top w:val="nil"/>
              <w:left w:val="nil"/>
              <w:bottom w:val="single" w:sz="4" w:space="0" w:color="000000"/>
              <w:right w:val="single" w:sz="4" w:space="0" w:color="000000"/>
            </w:tcBorders>
            <w:shd w:val="clear" w:color="auto" w:fill="auto"/>
            <w:noWrap/>
            <w:vAlign w:val="bottom"/>
            <w:hideMark/>
          </w:tcPr>
          <w:p w14:paraId="685BFF5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14.2</w:t>
            </w:r>
          </w:p>
        </w:tc>
        <w:tc>
          <w:tcPr>
            <w:tcW w:w="1134" w:type="dxa"/>
            <w:tcBorders>
              <w:top w:val="nil"/>
              <w:left w:val="nil"/>
              <w:bottom w:val="single" w:sz="4" w:space="0" w:color="000000"/>
              <w:right w:val="single" w:sz="4" w:space="0" w:color="000000"/>
            </w:tcBorders>
            <w:shd w:val="clear" w:color="auto" w:fill="auto"/>
            <w:noWrap/>
            <w:vAlign w:val="bottom"/>
            <w:hideMark/>
          </w:tcPr>
          <w:p w14:paraId="2C6065B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47.5</w:t>
            </w:r>
          </w:p>
        </w:tc>
        <w:tc>
          <w:tcPr>
            <w:tcW w:w="1417" w:type="dxa"/>
            <w:tcBorders>
              <w:top w:val="nil"/>
              <w:left w:val="nil"/>
              <w:bottom w:val="single" w:sz="4" w:space="0" w:color="000000"/>
              <w:right w:val="single" w:sz="4" w:space="0" w:color="000000"/>
            </w:tcBorders>
            <w:shd w:val="clear" w:color="auto" w:fill="auto"/>
            <w:noWrap/>
            <w:vAlign w:val="bottom"/>
            <w:hideMark/>
          </w:tcPr>
          <w:p w14:paraId="092A2F4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11.2</w:t>
            </w:r>
          </w:p>
        </w:tc>
        <w:tc>
          <w:tcPr>
            <w:tcW w:w="1418" w:type="dxa"/>
            <w:tcBorders>
              <w:top w:val="nil"/>
              <w:left w:val="nil"/>
              <w:bottom w:val="single" w:sz="4" w:space="0" w:color="000000"/>
              <w:right w:val="single" w:sz="4" w:space="0" w:color="000000"/>
            </w:tcBorders>
            <w:shd w:val="clear" w:color="auto" w:fill="auto"/>
            <w:noWrap/>
            <w:vAlign w:val="bottom"/>
            <w:hideMark/>
          </w:tcPr>
          <w:p w14:paraId="3263EFC3" w14:textId="77777777" w:rsidR="00916C90" w:rsidRPr="00AB56A1" w:rsidRDefault="00916C90" w:rsidP="00AB05A6">
            <w:pPr>
              <w:spacing w:after="0" w:line="360" w:lineRule="auto"/>
              <w:rPr>
                <w:rFonts w:ascii="Arial" w:eastAsia="Times New Roman" w:hAnsi="Arial" w:cs="Arial"/>
              </w:rPr>
            </w:pPr>
            <w:r w:rsidRPr="00AB56A1">
              <w:rPr>
                <w:rFonts w:ascii="Arial" w:hAnsi="Arial"/>
              </w:rPr>
              <w:t>no data</w:t>
            </w:r>
          </w:p>
        </w:tc>
      </w:tr>
      <w:tr w:rsidR="00916C90" w:rsidRPr="00AB56A1" w14:paraId="435AC6CB"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5FE5A2D0"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 xml:space="preserve">EU (so-called ‘old EU’ </w:t>
            </w:r>
            <w:r w:rsidR="00F254D9" w:rsidRPr="00AB56A1">
              <w:rPr>
                <w:rFonts w:ascii="Arial" w:hAnsi="Arial"/>
                <w:sz w:val="20"/>
                <w:szCs w:val="20"/>
              </w:rPr>
              <w:t>i.e.</w:t>
            </w:r>
            <w:r w:rsidRPr="00AB56A1">
              <w:rPr>
                <w:rFonts w:ascii="Arial" w:hAnsi="Arial"/>
                <w:sz w:val="20"/>
                <w:szCs w:val="20"/>
              </w:rPr>
              <w:t xml:space="preserve"> 15 countries)</w:t>
            </w:r>
          </w:p>
        </w:tc>
        <w:tc>
          <w:tcPr>
            <w:tcW w:w="1134" w:type="dxa"/>
            <w:tcBorders>
              <w:top w:val="nil"/>
              <w:left w:val="nil"/>
              <w:bottom w:val="single" w:sz="4" w:space="0" w:color="000000"/>
              <w:right w:val="single" w:sz="4" w:space="0" w:color="000000"/>
            </w:tcBorders>
            <w:shd w:val="clear" w:color="auto" w:fill="auto"/>
            <w:noWrap/>
            <w:vAlign w:val="bottom"/>
            <w:hideMark/>
          </w:tcPr>
          <w:p w14:paraId="07A3FB6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13.9</w:t>
            </w:r>
          </w:p>
        </w:tc>
        <w:tc>
          <w:tcPr>
            <w:tcW w:w="1134" w:type="dxa"/>
            <w:tcBorders>
              <w:top w:val="nil"/>
              <w:left w:val="nil"/>
              <w:bottom w:val="single" w:sz="4" w:space="0" w:color="000000"/>
              <w:right w:val="single" w:sz="4" w:space="0" w:color="000000"/>
            </w:tcBorders>
            <w:shd w:val="clear" w:color="auto" w:fill="auto"/>
            <w:noWrap/>
            <w:vAlign w:val="bottom"/>
            <w:hideMark/>
          </w:tcPr>
          <w:p w14:paraId="38F153B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48.3</w:t>
            </w:r>
          </w:p>
        </w:tc>
        <w:tc>
          <w:tcPr>
            <w:tcW w:w="1417" w:type="dxa"/>
            <w:tcBorders>
              <w:top w:val="nil"/>
              <w:left w:val="nil"/>
              <w:bottom w:val="single" w:sz="4" w:space="0" w:color="000000"/>
              <w:right w:val="single" w:sz="4" w:space="0" w:color="000000"/>
            </w:tcBorders>
            <w:shd w:val="clear" w:color="auto" w:fill="auto"/>
            <w:noWrap/>
            <w:vAlign w:val="bottom"/>
            <w:hideMark/>
          </w:tcPr>
          <w:p w14:paraId="1D25B2D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11.1</w:t>
            </w:r>
          </w:p>
        </w:tc>
        <w:tc>
          <w:tcPr>
            <w:tcW w:w="1418" w:type="dxa"/>
            <w:tcBorders>
              <w:top w:val="nil"/>
              <w:left w:val="nil"/>
              <w:bottom w:val="single" w:sz="4" w:space="0" w:color="000000"/>
              <w:right w:val="single" w:sz="4" w:space="0" w:color="000000"/>
            </w:tcBorders>
            <w:shd w:val="clear" w:color="auto" w:fill="auto"/>
            <w:noWrap/>
            <w:vAlign w:val="bottom"/>
            <w:hideMark/>
          </w:tcPr>
          <w:p w14:paraId="4A4B3C72" w14:textId="77777777" w:rsidR="00916C90" w:rsidRPr="00AB56A1" w:rsidRDefault="00916C90" w:rsidP="00AB05A6">
            <w:pPr>
              <w:spacing w:after="0" w:line="360" w:lineRule="auto"/>
              <w:rPr>
                <w:rFonts w:ascii="Arial" w:eastAsia="Times New Roman" w:hAnsi="Arial" w:cs="Arial"/>
              </w:rPr>
            </w:pPr>
            <w:r w:rsidRPr="00AB56A1">
              <w:rPr>
                <w:rFonts w:ascii="Arial" w:hAnsi="Arial"/>
              </w:rPr>
              <w:t>no data</w:t>
            </w:r>
          </w:p>
        </w:tc>
      </w:tr>
      <w:tr w:rsidR="00916C90" w:rsidRPr="00AB56A1" w14:paraId="1714B962"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0C892A5F"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Bulgaria</w:t>
            </w:r>
          </w:p>
        </w:tc>
        <w:tc>
          <w:tcPr>
            <w:tcW w:w="1134" w:type="dxa"/>
            <w:tcBorders>
              <w:top w:val="nil"/>
              <w:left w:val="nil"/>
              <w:bottom w:val="single" w:sz="4" w:space="0" w:color="000000"/>
              <w:right w:val="single" w:sz="4" w:space="0" w:color="000000"/>
            </w:tcBorders>
            <w:shd w:val="clear" w:color="auto" w:fill="auto"/>
            <w:noWrap/>
            <w:vAlign w:val="bottom"/>
            <w:hideMark/>
          </w:tcPr>
          <w:p w14:paraId="052B4313"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11.3</w:t>
            </w:r>
          </w:p>
        </w:tc>
        <w:tc>
          <w:tcPr>
            <w:tcW w:w="1134" w:type="dxa"/>
            <w:tcBorders>
              <w:top w:val="nil"/>
              <w:left w:val="nil"/>
              <w:bottom w:val="single" w:sz="4" w:space="0" w:color="000000"/>
              <w:right w:val="single" w:sz="4" w:space="0" w:color="000000"/>
            </w:tcBorders>
            <w:shd w:val="clear" w:color="auto" w:fill="auto"/>
            <w:noWrap/>
            <w:vAlign w:val="bottom"/>
            <w:hideMark/>
          </w:tcPr>
          <w:p w14:paraId="67B8EB1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40.8</w:t>
            </w:r>
          </w:p>
        </w:tc>
        <w:tc>
          <w:tcPr>
            <w:tcW w:w="1417" w:type="dxa"/>
            <w:tcBorders>
              <w:top w:val="nil"/>
              <w:left w:val="nil"/>
              <w:bottom w:val="single" w:sz="4" w:space="0" w:color="000000"/>
              <w:right w:val="single" w:sz="4" w:space="0" w:color="000000"/>
            </w:tcBorders>
            <w:shd w:val="clear" w:color="auto" w:fill="auto"/>
            <w:noWrap/>
            <w:vAlign w:val="bottom"/>
            <w:hideMark/>
          </w:tcPr>
          <w:p w14:paraId="3C1FE49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3.8</w:t>
            </w:r>
          </w:p>
        </w:tc>
        <w:tc>
          <w:tcPr>
            <w:tcW w:w="1418" w:type="dxa"/>
            <w:tcBorders>
              <w:top w:val="nil"/>
              <w:left w:val="nil"/>
              <w:bottom w:val="single" w:sz="4" w:space="0" w:color="000000"/>
              <w:right w:val="single" w:sz="4" w:space="0" w:color="000000"/>
            </w:tcBorders>
            <w:shd w:val="clear" w:color="auto" w:fill="auto"/>
            <w:noWrap/>
            <w:vAlign w:val="bottom"/>
            <w:hideMark/>
          </w:tcPr>
          <w:p w14:paraId="2E914BC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39.2</w:t>
            </w:r>
          </w:p>
        </w:tc>
      </w:tr>
      <w:tr w:rsidR="00916C90" w:rsidRPr="00AB56A1" w14:paraId="6EC417E0"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11189EE6"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Czech Republic</w:t>
            </w:r>
          </w:p>
        </w:tc>
        <w:tc>
          <w:tcPr>
            <w:tcW w:w="1134" w:type="dxa"/>
            <w:tcBorders>
              <w:top w:val="nil"/>
              <w:left w:val="nil"/>
              <w:bottom w:val="single" w:sz="4" w:space="0" w:color="000000"/>
              <w:right w:val="single" w:sz="4" w:space="0" w:color="000000"/>
            </w:tcBorders>
            <w:shd w:val="clear" w:color="auto" w:fill="auto"/>
            <w:noWrap/>
            <w:vAlign w:val="bottom"/>
            <w:hideMark/>
          </w:tcPr>
          <w:p w14:paraId="78949D2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16.0</w:t>
            </w:r>
          </w:p>
        </w:tc>
        <w:tc>
          <w:tcPr>
            <w:tcW w:w="1134" w:type="dxa"/>
            <w:tcBorders>
              <w:top w:val="nil"/>
              <w:left w:val="nil"/>
              <w:bottom w:val="single" w:sz="4" w:space="0" w:color="000000"/>
              <w:right w:val="single" w:sz="4" w:space="0" w:color="000000"/>
            </w:tcBorders>
            <w:shd w:val="clear" w:color="auto" w:fill="auto"/>
            <w:noWrap/>
            <w:vAlign w:val="bottom"/>
            <w:hideMark/>
          </w:tcPr>
          <w:p w14:paraId="785E5CA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40.0</w:t>
            </w:r>
          </w:p>
        </w:tc>
        <w:tc>
          <w:tcPr>
            <w:tcW w:w="1417" w:type="dxa"/>
            <w:tcBorders>
              <w:top w:val="nil"/>
              <w:left w:val="nil"/>
              <w:bottom w:val="single" w:sz="4" w:space="0" w:color="000000"/>
              <w:right w:val="single" w:sz="4" w:space="0" w:color="000000"/>
            </w:tcBorders>
            <w:shd w:val="clear" w:color="auto" w:fill="auto"/>
            <w:noWrap/>
            <w:vAlign w:val="bottom"/>
            <w:hideMark/>
          </w:tcPr>
          <w:p w14:paraId="5714567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8.1</w:t>
            </w:r>
          </w:p>
        </w:tc>
        <w:tc>
          <w:tcPr>
            <w:tcW w:w="1418" w:type="dxa"/>
            <w:tcBorders>
              <w:top w:val="nil"/>
              <w:left w:val="nil"/>
              <w:bottom w:val="single" w:sz="4" w:space="0" w:color="000000"/>
              <w:right w:val="single" w:sz="4" w:space="0" w:color="000000"/>
            </w:tcBorders>
            <w:shd w:val="clear" w:color="auto" w:fill="auto"/>
            <w:noWrap/>
            <w:vAlign w:val="bottom"/>
            <w:hideMark/>
          </w:tcPr>
          <w:p w14:paraId="424511A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32.6</w:t>
            </w:r>
          </w:p>
        </w:tc>
      </w:tr>
      <w:tr w:rsidR="00916C90" w:rsidRPr="00AB56A1" w14:paraId="4F78869B"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73D4DA24"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Estonia</w:t>
            </w:r>
          </w:p>
        </w:tc>
        <w:tc>
          <w:tcPr>
            <w:tcW w:w="1134" w:type="dxa"/>
            <w:tcBorders>
              <w:top w:val="nil"/>
              <w:left w:val="nil"/>
              <w:bottom w:val="single" w:sz="4" w:space="0" w:color="000000"/>
              <w:right w:val="single" w:sz="4" w:space="0" w:color="000000"/>
            </w:tcBorders>
            <w:shd w:val="clear" w:color="auto" w:fill="auto"/>
            <w:noWrap/>
            <w:vAlign w:val="bottom"/>
            <w:hideMark/>
          </w:tcPr>
          <w:p w14:paraId="47C19B5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9.3</w:t>
            </w:r>
          </w:p>
        </w:tc>
        <w:tc>
          <w:tcPr>
            <w:tcW w:w="1134" w:type="dxa"/>
            <w:tcBorders>
              <w:top w:val="nil"/>
              <w:left w:val="nil"/>
              <w:bottom w:val="single" w:sz="4" w:space="0" w:color="000000"/>
              <w:right w:val="single" w:sz="4" w:space="0" w:color="000000"/>
            </w:tcBorders>
            <w:shd w:val="clear" w:color="auto" w:fill="auto"/>
            <w:noWrap/>
            <w:vAlign w:val="bottom"/>
            <w:hideMark/>
          </w:tcPr>
          <w:p w14:paraId="6970AFE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48.1</w:t>
            </w:r>
          </w:p>
        </w:tc>
        <w:tc>
          <w:tcPr>
            <w:tcW w:w="1417" w:type="dxa"/>
            <w:tcBorders>
              <w:top w:val="nil"/>
              <w:left w:val="nil"/>
              <w:bottom w:val="single" w:sz="4" w:space="0" w:color="000000"/>
              <w:right w:val="single" w:sz="4" w:space="0" w:color="000000"/>
            </w:tcBorders>
            <w:shd w:val="clear" w:color="auto" w:fill="auto"/>
            <w:noWrap/>
            <w:vAlign w:val="bottom"/>
            <w:hideMark/>
          </w:tcPr>
          <w:p w14:paraId="2319B26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2.9</w:t>
            </w:r>
          </w:p>
        </w:tc>
        <w:tc>
          <w:tcPr>
            <w:tcW w:w="1418" w:type="dxa"/>
            <w:tcBorders>
              <w:top w:val="nil"/>
              <w:left w:val="nil"/>
              <w:bottom w:val="single" w:sz="4" w:space="0" w:color="000000"/>
              <w:right w:val="single" w:sz="4" w:space="0" w:color="000000"/>
            </w:tcBorders>
            <w:shd w:val="clear" w:color="auto" w:fill="auto"/>
            <w:noWrap/>
            <w:vAlign w:val="bottom"/>
            <w:hideMark/>
          </w:tcPr>
          <w:p w14:paraId="2BDCC4D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34.1</w:t>
            </w:r>
          </w:p>
        </w:tc>
      </w:tr>
      <w:tr w:rsidR="00916C90" w:rsidRPr="00AB56A1" w14:paraId="411A01EB"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5DD0D6FA"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Latvia</w:t>
            </w:r>
          </w:p>
        </w:tc>
        <w:tc>
          <w:tcPr>
            <w:tcW w:w="1134" w:type="dxa"/>
            <w:tcBorders>
              <w:top w:val="nil"/>
              <w:left w:val="nil"/>
              <w:bottom w:val="single" w:sz="4" w:space="0" w:color="000000"/>
              <w:right w:val="single" w:sz="4" w:space="0" w:color="000000"/>
            </w:tcBorders>
            <w:shd w:val="clear" w:color="auto" w:fill="auto"/>
            <w:noWrap/>
            <w:vAlign w:val="bottom"/>
            <w:hideMark/>
          </w:tcPr>
          <w:p w14:paraId="2FD4198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11.6</w:t>
            </w:r>
          </w:p>
        </w:tc>
        <w:tc>
          <w:tcPr>
            <w:tcW w:w="1134" w:type="dxa"/>
            <w:tcBorders>
              <w:top w:val="nil"/>
              <w:left w:val="nil"/>
              <w:bottom w:val="single" w:sz="4" w:space="0" w:color="000000"/>
              <w:right w:val="single" w:sz="4" w:space="0" w:color="000000"/>
            </w:tcBorders>
            <w:shd w:val="clear" w:color="auto" w:fill="auto"/>
            <w:noWrap/>
            <w:vAlign w:val="bottom"/>
            <w:hideMark/>
          </w:tcPr>
          <w:p w14:paraId="76E4085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43.4</w:t>
            </w:r>
          </w:p>
        </w:tc>
        <w:tc>
          <w:tcPr>
            <w:tcW w:w="1417" w:type="dxa"/>
            <w:tcBorders>
              <w:top w:val="nil"/>
              <w:left w:val="nil"/>
              <w:bottom w:val="single" w:sz="4" w:space="0" w:color="000000"/>
              <w:right w:val="single" w:sz="4" w:space="0" w:color="000000"/>
            </w:tcBorders>
            <w:shd w:val="clear" w:color="auto" w:fill="auto"/>
            <w:noWrap/>
            <w:vAlign w:val="bottom"/>
            <w:hideMark/>
          </w:tcPr>
          <w:p w14:paraId="251FCEB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3.1</w:t>
            </w:r>
          </w:p>
        </w:tc>
        <w:tc>
          <w:tcPr>
            <w:tcW w:w="1418" w:type="dxa"/>
            <w:tcBorders>
              <w:top w:val="nil"/>
              <w:left w:val="nil"/>
              <w:bottom w:val="single" w:sz="4" w:space="0" w:color="000000"/>
              <w:right w:val="single" w:sz="4" w:space="0" w:color="000000"/>
            </w:tcBorders>
            <w:shd w:val="clear" w:color="auto" w:fill="auto"/>
            <w:noWrap/>
            <w:vAlign w:val="bottom"/>
            <w:hideMark/>
          </w:tcPr>
          <w:p w14:paraId="5049FA7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42.0</w:t>
            </w:r>
          </w:p>
        </w:tc>
      </w:tr>
      <w:tr w:rsidR="00916C90" w:rsidRPr="00AB56A1" w14:paraId="12147CE5"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1DC85CAE"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Lithuania</w:t>
            </w:r>
          </w:p>
        </w:tc>
        <w:tc>
          <w:tcPr>
            <w:tcW w:w="1134" w:type="dxa"/>
            <w:tcBorders>
              <w:top w:val="nil"/>
              <w:left w:val="nil"/>
              <w:bottom w:val="single" w:sz="4" w:space="0" w:color="000000"/>
              <w:right w:val="single" w:sz="4" w:space="0" w:color="000000"/>
            </w:tcBorders>
            <w:shd w:val="clear" w:color="auto" w:fill="auto"/>
            <w:noWrap/>
            <w:vAlign w:val="bottom"/>
            <w:hideMark/>
          </w:tcPr>
          <w:p w14:paraId="2A983D8E"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10.8</w:t>
            </w:r>
          </w:p>
        </w:tc>
        <w:tc>
          <w:tcPr>
            <w:tcW w:w="1134" w:type="dxa"/>
            <w:tcBorders>
              <w:top w:val="nil"/>
              <w:left w:val="nil"/>
              <w:bottom w:val="single" w:sz="4" w:space="0" w:color="000000"/>
              <w:right w:val="single" w:sz="4" w:space="0" w:color="000000"/>
            </w:tcBorders>
            <w:shd w:val="clear" w:color="auto" w:fill="auto"/>
            <w:noWrap/>
            <w:vAlign w:val="bottom"/>
            <w:hideMark/>
          </w:tcPr>
          <w:p w14:paraId="2D7E28D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41.3</w:t>
            </w:r>
          </w:p>
        </w:tc>
        <w:tc>
          <w:tcPr>
            <w:tcW w:w="1417" w:type="dxa"/>
            <w:tcBorders>
              <w:top w:val="nil"/>
              <w:left w:val="nil"/>
              <w:bottom w:val="single" w:sz="4" w:space="0" w:color="000000"/>
              <w:right w:val="single" w:sz="4" w:space="0" w:color="000000"/>
            </w:tcBorders>
            <w:shd w:val="clear" w:color="auto" w:fill="auto"/>
            <w:noWrap/>
            <w:vAlign w:val="bottom"/>
            <w:hideMark/>
          </w:tcPr>
          <w:p w14:paraId="5BF2433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1.8</w:t>
            </w:r>
          </w:p>
        </w:tc>
        <w:tc>
          <w:tcPr>
            <w:tcW w:w="1418" w:type="dxa"/>
            <w:tcBorders>
              <w:top w:val="nil"/>
              <w:left w:val="nil"/>
              <w:bottom w:val="single" w:sz="4" w:space="0" w:color="000000"/>
              <w:right w:val="single" w:sz="4" w:space="0" w:color="000000"/>
            </w:tcBorders>
            <w:shd w:val="clear" w:color="auto" w:fill="auto"/>
            <w:noWrap/>
            <w:vAlign w:val="bottom"/>
            <w:hideMark/>
          </w:tcPr>
          <w:p w14:paraId="7809267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48.3</w:t>
            </w:r>
          </w:p>
        </w:tc>
      </w:tr>
      <w:tr w:rsidR="00916C90" w:rsidRPr="00AB56A1" w14:paraId="69C28EEA"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37080760"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Hungary</w:t>
            </w:r>
          </w:p>
        </w:tc>
        <w:tc>
          <w:tcPr>
            <w:tcW w:w="1134" w:type="dxa"/>
            <w:tcBorders>
              <w:top w:val="nil"/>
              <w:left w:val="nil"/>
              <w:bottom w:val="single" w:sz="4" w:space="0" w:color="000000"/>
              <w:right w:val="single" w:sz="4" w:space="0" w:color="000000"/>
            </w:tcBorders>
            <w:shd w:val="clear" w:color="auto" w:fill="auto"/>
            <w:noWrap/>
            <w:vAlign w:val="bottom"/>
            <w:hideMark/>
          </w:tcPr>
          <w:p w14:paraId="4A0FD1D4"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10.2</w:t>
            </w:r>
          </w:p>
        </w:tc>
        <w:tc>
          <w:tcPr>
            <w:tcW w:w="1134" w:type="dxa"/>
            <w:tcBorders>
              <w:top w:val="nil"/>
              <w:left w:val="nil"/>
              <w:bottom w:val="single" w:sz="4" w:space="0" w:color="000000"/>
              <w:right w:val="single" w:sz="4" w:space="0" w:color="000000"/>
            </w:tcBorders>
            <w:shd w:val="clear" w:color="auto" w:fill="auto"/>
            <w:noWrap/>
            <w:vAlign w:val="bottom"/>
            <w:hideMark/>
          </w:tcPr>
          <w:p w14:paraId="5BF197B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42.3</w:t>
            </w:r>
          </w:p>
        </w:tc>
        <w:tc>
          <w:tcPr>
            <w:tcW w:w="1417" w:type="dxa"/>
            <w:tcBorders>
              <w:top w:val="nil"/>
              <w:left w:val="nil"/>
              <w:bottom w:val="single" w:sz="4" w:space="0" w:color="000000"/>
              <w:right w:val="single" w:sz="4" w:space="0" w:color="000000"/>
            </w:tcBorders>
            <w:shd w:val="clear" w:color="auto" w:fill="auto"/>
            <w:noWrap/>
            <w:vAlign w:val="bottom"/>
            <w:hideMark/>
          </w:tcPr>
          <w:p w14:paraId="5E554DC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10.0</w:t>
            </w:r>
          </w:p>
        </w:tc>
        <w:tc>
          <w:tcPr>
            <w:tcW w:w="1418" w:type="dxa"/>
            <w:tcBorders>
              <w:top w:val="nil"/>
              <w:left w:val="nil"/>
              <w:bottom w:val="single" w:sz="4" w:space="0" w:color="000000"/>
              <w:right w:val="single" w:sz="4" w:space="0" w:color="000000"/>
            </w:tcBorders>
            <w:shd w:val="clear" w:color="auto" w:fill="auto"/>
            <w:noWrap/>
            <w:vAlign w:val="bottom"/>
            <w:hideMark/>
          </w:tcPr>
          <w:p w14:paraId="0996658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43.3</w:t>
            </w:r>
          </w:p>
        </w:tc>
      </w:tr>
      <w:tr w:rsidR="00916C90" w:rsidRPr="00AB56A1" w14:paraId="496AD9B9"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67F185CA"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Poland</w:t>
            </w:r>
          </w:p>
        </w:tc>
        <w:tc>
          <w:tcPr>
            <w:tcW w:w="1134" w:type="dxa"/>
            <w:tcBorders>
              <w:top w:val="nil"/>
              <w:left w:val="nil"/>
              <w:bottom w:val="single" w:sz="4" w:space="0" w:color="000000"/>
              <w:right w:val="single" w:sz="4" w:space="0" w:color="000000"/>
            </w:tcBorders>
            <w:shd w:val="clear" w:color="auto" w:fill="auto"/>
            <w:noWrap/>
            <w:vAlign w:val="bottom"/>
            <w:hideMark/>
          </w:tcPr>
          <w:p w14:paraId="37A68DF8"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18.0</w:t>
            </w:r>
          </w:p>
        </w:tc>
        <w:tc>
          <w:tcPr>
            <w:tcW w:w="1134" w:type="dxa"/>
            <w:tcBorders>
              <w:top w:val="nil"/>
              <w:left w:val="nil"/>
              <w:bottom w:val="single" w:sz="4" w:space="0" w:color="000000"/>
              <w:right w:val="single" w:sz="4" w:space="0" w:color="000000"/>
            </w:tcBorders>
            <w:shd w:val="clear" w:color="auto" w:fill="auto"/>
            <w:noWrap/>
            <w:vAlign w:val="bottom"/>
            <w:hideMark/>
          </w:tcPr>
          <w:p w14:paraId="0BA1390A"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36.6</w:t>
            </w:r>
          </w:p>
        </w:tc>
        <w:tc>
          <w:tcPr>
            <w:tcW w:w="1417" w:type="dxa"/>
            <w:tcBorders>
              <w:top w:val="nil"/>
              <w:left w:val="nil"/>
              <w:bottom w:val="single" w:sz="4" w:space="0" w:color="000000"/>
              <w:right w:val="single" w:sz="4" w:space="0" w:color="000000"/>
            </w:tcBorders>
            <w:shd w:val="clear" w:color="auto" w:fill="auto"/>
            <w:noWrap/>
            <w:vAlign w:val="bottom"/>
            <w:hideMark/>
          </w:tcPr>
          <w:p w14:paraId="4315F539"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21.9</w:t>
            </w:r>
          </w:p>
        </w:tc>
        <w:tc>
          <w:tcPr>
            <w:tcW w:w="1418" w:type="dxa"/>
            <w:tcBorders>
              <w:top w:val="nil"/>
              <w:left w:val="nil"/>
              <w:bottom w:val="single" w:sz="4" w:space="0" w:color="000000"/>
              <w:right w:val="single" w:sz="4" w:space="0" w:color="000000"/>
            </w:tcBorders>
            <w:shd w:val="clear" w:color="auto" w:fill="auto"/>
            <w:noWrap/>
            <w:vAlign w:val="bottom"/>
            <w:hideMark/>
          </w:tcPr>
          <w:p w14:paraId="3C6D5536"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44.6</w:t>
            </w:r>
          </w:p>
        </w:tc>
      </w:tr>
      <w:tr w:rsidR="00916C90" w:rsidRPr="00AB56A1" w14:paraId="462FBE6A"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232F77A2"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Romania</w:t>
            </w:r>
          </w:p>
        </w:tc>
        <w:tc>
          <w:tcPr>
            <w:tcW w:w="1134" w:type="dxa"/>
            <w:tcBorders>
              <w:top w:val="nil"/>
              <w:left w:val="nil"/>
              <w:bottom w:val="single" w:sz="4" w:space="0" w:color="000000"/>
              <w:right w:val="single" w:sz="4" w:space="0" w:color="000000"/>
            </w:tcBorders>
            <w:shd w:val="clear" w:color="auto" w:fill="auto"/>
            <w:noWrap/>
            <w:vAlign w:val="bottom"/>
            <w:hideMark/>
          </w:tcPr>
          <w:p w14:paraId="6F0D4B21"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17.6</w:t>
            </w:r>
          </w:p>
        </w:tc>
        <w:tc>
          <w:tcPr>
            <w:tcW w:w="1134" w:type="dxa"/>
            <w:tcBorders>
              <w:top w:val="nil"/>
              <w:left w:val="nil"/>
              <w:bottom w:val="single" w:sz="4" w:space="0" w:color="000000"/>
              <w:right w:val="single" w:sz="4" w:space="0" w:color="000000"/>
            </w:tcBorders>
            <w:shd w:val="clear" w:color="auto" w:fill="auto"/>
            <w:noWrap/>
            <w:vAlign w:val="bottom"/>
            <w:hideMark/>
          </w:tcPr>
          <w:p w14:paraId="6C08238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32.3</w:t>
            </w:r>
          </w:p>
        </w:tc>
        <w:tc>
          <w:tcPr>
            <w:tcW w:w="1417" w:type="dxa"/>
            <w:tcBorders>
              <w:top w:val="nil"/>
              <w:left w:val="nil"/>
              <w:bottom w:val="single" w:sz="4" w:space="0" w:color="000000"/>
              <w:right w:val="single" w:sz="4" w:space="0" w:color="000000"/>
            </w:tcBorders>
            <w:shd w:val="clear" w:color="auto" w:fill="auto"/>
            <w:noWrap/>
            <w:vAlign w:val="bottom"/>
            <w:hideMark/>
          </w:tcPr>
          <w:p w14:paraId="0F48CE1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1.0</w:t>
            </w:r>
          </w:p>
        </w:tc>
        <w:tc>
          <w:tcPr>
            <w:tcW w:w="1418" w:type="dxa"/>
            <w:tcBorders>
              <w:top w:val="nil"/>
              <w:left w:val="nil"/>
              <w:bottom w:val="single" w:sz="4" w:space="0" w:color="000000"/>
              <w:right w:val="single" w:sz="4" w:space="0" w:color="000000"/>
            </w:tcBorders>
            <w:shd w:val="clear" w:color="auto" w:fill="auto"/>
            <w:noWrap/>
            <w:vAlign w:val="bottom"/>
            <w:hideMark/>
          </w:tcPr>
          <w:p w14:paraId="7716F130"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36.3</w:t>
            </w:r>
          </w:p>
        </w:tc>
      </w:tr>
      <w:tr w:rsidR="00916C90" w:rsidRPr="00AB56A1" w14:paraId="1B57A5CD"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30A8CBA4"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Slovenia</w:t>
            </w:r>
          </w:p>
        </w:tc>
        <w:tc>
          <w:tcPr>
            <w:tcW w:w="1134" w:type="dxa"/>
            <w:tcBorders>
              <w:top w:val="nil"/>
              <w:left w:val="nil"/>
              <w:bottom w:val="single" w:sz="4" w:space="0" w:color="000000"/>
              <w:right w:val="single" w:sz="4" w:space="0" w:color="000000"/>
            </w:tcBorders>
            <w:shd w:val="clear" w:color="auto" w:fill="auto"/>
            <w:noWrap/>
            <w:vAlign w:val="bottom"/>
            <w:hideMark/>
          </w:tcPr>
          <w:p w14:paraId="569911F7"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12.5</w:t>
            </w:r>
          </w:p>
        </w:tc>
        <w:tc>
          <w:tcPr>
            <w:tcW w:w="1134" w:type="dxa"/>
            <w:tcBorders>
              <w:top w:val="nil"/>
              <w:left w:val="nil"/>
              <w:bottom w:val="single" w:sz="4" w:space="0" w:color="000000"/>
              <w:right w:val="single" w:sz="4" w:space="0" w:color="000000"/>
            </w:tcBorders>
            <w:shd w:val="clear" w:color="auto" w:fill="auto"/>
            <w:noWrap/>
            <w:vAlign w:val="bottom"/>
            <w:hideMark/>
          </w:tcPr>
          <w:p w14:paraId="49532432"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48.7</w:t>
            </w:r>
          </w:p>
        </w:tc>
        <w:tc>
          <w:tcPr>
            <w:tcW w:w="1417" w:type="dxa"/>
            <w:tcBorders>
              <w:top w:val="nil"/>
              <w:left w:val="nil"/>
              <w:bottom w:val="single" w:sz="4" w:space="0" w:color="000000"/>
              <w:right w:val="single" w:sz="4" w:space="0" w:color="000000"/>
            </w:tcBorders>
            <w:shd w:val="clear" w:color="auto" w:fill="auto"/>
            <w:noWrap/>
            <w:vAlign w:val="bottom"/>
            <w:hideMark/>
          </w:tcPr>
          <w:p w14:paraId="15A0687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14.6</w:t>
            </w:r>
          </w:p>
        </w:tc>
        <w:tc>
          <w:tcPr>
            <w:tcW w:w="1418" w:type="dxa"/>
            <w:tcBorders>
              <w:top w:val="nil"/>
              <w:left w:val="nil"/>
              <w:bottom w:val="single" w:sz="4" w:space="0" w:color="000000"/>
              <w:right w:val="single" w:sz="4" w:space="0" w:color="000000"/>
            </w:tcBorders>
            <w:shd w:val="clear" w:color="auto" w:fill="auto"/>
            <w:noWrap/>
            <w:vAlign w:val="bottom"/>
            <w:hideMark/>
          </w:tcPr>
          <w:p w14:paraId="45D51A1D"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53.2</w:t>
            </w:r>
          </w:p>
        </w:tc>
      </w:tr>
      <w:tr w:rsidR="00916C90" w:rsidRPr="00AB56A1" w14:paraId="155A58A2" w14:textId="77777777" w:rsidTr="00205BDB">
        <w:trPr>
          <w:trHeight w:val="280"/>
        </w:trPr>
        <w:tc>
          <w:tcPr>
            <w:tcW w:w="3681" w:type="dxa"/>
            <w:tcBorders>
              <w:top w:val="nil"/>
              <w:left w:val="single" w:sz="4" w:space="0" w:color="000000"/>
              <w:bottom w:val="single" w:sz="4" w:space="0" w:color="000000"/>
              <w:right w:val="single" w:sz="4" w:space="0" w:color="000000"/>
            </w:tcBorders>
            <w:shd w:val="clear" w:color="000000" w:fill="99CCFF"/>
            <w:noWrap/>
            <w:vAlign w:val="bottom"/>
            <w:hideMark/>
          </w:tcPr>
          <w:p w14:paraId="0C806618" w14:textId="77777777" w:rsidR="00916C90" w:rsidRPr="00AB56A1" w:rsidRDefault="00916C90" w:rsidP="00AB05A6">
            <w:pPr>
              <w:spacing w:after="0" w:line="360" w:lineRule="auto"/>
              <w:rPr>
                <w:rFonts w:ascii="Arial" w:eastAsia="Times New Roman" w:hAnsi="Arial" w:cs="Arial"/>
                <w:sz w:val="20"/>
                <w:szCs w:val="20"/>
              </w:rPr>
            </w:pPr>
            <w:r w:rsidRPr="00AB56A1">
              <w:rPr>
                <w:rFonts w:ascii="Arial" w:hAnsi="Arial"/>
                <w:sz w:val="20"/>
                <w:szCs w:val="20"/>
              </w:rPr>
              <w:t>Slovakia</w:t>
            </w:r>
          </w:p>
        </w:tc>
        <w:tc>
          <w:tcPr>
            <w:tcW w:w="1134" w:type="dxa"/>
            <w:tcBorders>
              <w:top w:val="nil"/>
              <w:left w:val="nil"/>
              <w:bottom w:val="single" w:sz="4" w:space="0" w:color="000000"/>
              <w:right w:val="single" w:sz="4" w:space="0" w:color="000000"/>
            </w:tcBorders>
            <w:shd w:val="clear" w:color="auto" w:fill="auto"/>
            <w:noWrap/>
            <w:vAlign w:val="bottom"/>
            <w:hideMark/>
          </w:tcPr>
          <w:p w14:paraId="34D9582C"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14.9</w:t>
            </w:r>
          </w:p>
        </w:tc>
        <w:tc>
          <w:tcPr>
            <w:tcW w:w="1134" w:type="dxa"/>
            <w:tcBorders>
              <w:top w:val="nil"/>
              <w:left w:val="nil"/>
              <w:bottom w:val="single" w:sz="4" w:space="0" w:color="000000"/>
              <w:right w:val="single" w:sz="4" w:space="0" w:color="000000"/>
            </w:tcBorders>
            <w:shd w:val="clear" w:color="auto" w:fill="auto"/>
            <w:noWrap/>
            <w:vAlign w:val="bottom"/>
            <w:hideMark/>
          </w:tcPr>
          <w:p w14:paraId="1118655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38.4</w:t>
            </w:r>
          </w:p>
        </w:tc>
        <w:tc>
          <w:tcPr>
            <w:tcW w:w="1417" w:type="dxa"/>
            <w:tcBorders>
              <w:top w:val="nil"/>
              <w:left w:val="nil"/>
              <w:bottom w:val="single" w:sz="4" w:space="0" w:color="000000"/>
              <w:right w:val="single" w:sz="4" w:space="0" w:color="000000"/>
            </w:tcBorders>
            <w:shd w:val="clear" w:color="auto" w:fill="auto"/>
            <w:noWrap/>
            <w:vAlign w:val="bottom"/>
            <w:hideMark/>
          </w:tcPr>
          <w:p w14:paraId="6FF41D15"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8.8</w:t>
            </w:r>
          </w:p>
        </w:tc>
        <w:tc>
          <w:tcPr>
            <w:tcW w:w="1418" w:type="dxa"/>
            <w:tcBorders>
              <w:top w:val="nil"/>
              <w:left w:val="nil"/>
              <w:bottom w:val="single" w:sz="4" w:space="0" w:color="000000"/>
              <w:right w:val="single" w:sz="4" w:space="0" w:color="000000"/>
            </w:tcBorders>
            <w:shd w:val="clear" w:color="auto" w:fill="auto"/>
            <w:noWrap/>
            <w:vAlign w:val="bottom"/>
            <w:hideMark/>
          </w:tcPr>
          <w:p w14:paraId="030C991B" w14:textId="77777777" w:rsidR="00916C90" w:rsidRPr="00AB56A1" w:rsidRDefault="00916C90" w:rsidP="00AB05A6">
            <w:pPr>
              <w:spacing w:after="0" w:line="360" w:lineRule="auto"/>
              <w:jc w:val="right"/>
              <w:rPr>
                <w:rFonts w:ascii="Arial" w:eastAsia="Times New Roman" w:hAnsi="Arial" w:cs="Arial"/>
                <w:sz w:val="20"/>
                <w:szCs w:val="20"/>
              </w:rPr>
            </w:pPr>
            <w:r w:rsidRPr="00AB56A1">
              <w:rPr>
                <w:rFonts w:ascii="Arial" w:hAnsi="Arial"/>
                <w:sz w:val="20"/>
                <w:szCs w:val="20"/>
              </w:rPr>
              <w:t>36.0</w:t>
            </w:r>
          </w:p>
        </w:tc>
      </w:tr>
    </w:tbl>
    <w:p w14:paraId="4606FEB1"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Source: Own calculations based on Eurostat data</w:t>
      </w:r>
    </w:p>
    <w:p w14:paraId="1565B3DB"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p>
    <w:p w14:paraId="79B18D15" w14:textId="6C46DEEE"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First of all, the employees in the analysed economies have relatively low remuneration in relation to the national income that has been made, which is proved by a low share of wages in GDP</w:t>
      </w:r>
      <w:r w:rsidRPr="00AB56A1">
        <w:rPr>
          <w:rFonts w:ascii="Times New Roman" w:eastAsia="Calibri" w:hAnsi="Times New Roman" w:cs="Times New Roman"/>
          <w:sz w:val="24"/>
          <w:szCs w:val="24"/>
          <w:vertAlign w:val="superscript"/>
        </w:rPr>
        <w:footnoteReference w:id="8"/>
      </w:r>
      <w:r w:rsidRPr="00AB56A1">
        <w:rPr>
          <w:rFonts w:ascii="Times New Roman" w:hAnsi="Times New Roman"/>
          <w:sz w:val="24"/>
          <w:szCs w:val="24"/>
        </w:rPr>
        <w:t xml:space="preserve">. </w:t>
      </w:r>
      <w:r w:rsidR="00125C16">
        <w:rPr>
          <w:rFonts w:ascii="Times New Roman" w:hAnsi="Times New Roman"/>
          <w:sz w:val="24"/>
          <w:szCs w:val="24"/>
        </w:rPr>
        <w:t>The e</w:t>
      </w:r>
      <w:r w:rsidR="00125C16" w:rsidRPr="00AB56A1">
        <w:rPr>
          <w:rFonts w:ascii="Times New Roman" w:hAnsi="Times New Roman"/>
          <w:sz w:val="24"/>
          <w:szCs w:val="24"/>
        </w:rPr>
        <w:t xml:space="preserve">xplanation </w:t>
      </w:r>
      <w:r w:rsidRPr="00AB56A1">
        <w:rPr>
          <w:rFonts w:ascii="Times New Roman" w:hAnsi="Times New Roman"/>
          <w:sz w:val="24"/>
          <w:szCs w:val="24"/>
        </w:rPr>
        <w:t>of this phenomenon is not obvious. The state's policy in terms of wage development should be responsible to a</w:t>
      </w:r>
      <w:r w:rsidR="00205BDB" w:rsidRPr="00AB56A1">
        <w:rPr>
          <w:rFonts w:ascii="Times New Roman" w:hAnsi="Times New Roman"/>
          <w:sz w:val="24"/>
          <w:szCs w:val="24"/>
        </w:rPr>
        <w:t xml:space="preserve"> </w:t>
      </w:r>
      <w:r w:rsidRPr="00AB56A1">
        <w:rPr>
          <w:rFonts w:ascii="Times New Roman" w:hAnsi="Times New Roman"/>
          <w:sz w:val="24"/>
          <w:szCs w:val="24"/>
        </w:rPr>
        <w:t>large extent for the amount of wages, including most of all the application of regulations on minimum wage, which is not a commonly applicable standard – Scandinavian countries control wages very strictly, but they do not set out a minimum wage for the entire national economy. On</w:t>
      </w:r>
      <w:r w:rsidR="00125C16">
        <w:rPr>
          <w:rFonts w:ascii="Times New Roman" w:hAnsi="Times New Roman"/>
          <w:sz w:val="24"/>
          <w:szCs w:val="24"/>
        </w:rPr>
        <w:t xml:space="preserve"> the</w:t>
      </w:r>
      <w:r w:rsidRPr="00AB56A1">
        <w:rPr>
          <w:rFonts w:ascii="Times New Roman" w:hAnsi="Times New Roman"/>
          <w:sz w:val="24"/>
          <w:szCs w:val="24"/>
        </w:rPr>
        <w:t xml:space="preserve"> one hand, we can give </w:t>
      </w:r>
      <w:r w:rsidR="00125C16">
        <w:rPr>
          <w:rFonts w:ascii="Times New Roman" w:hAnsi="Times New Roman"/>
          <w:sz w:val="24"/>
          <w:szCs w:val="24"/>
        </w:rPr>
        <w:t xml:space="preserve">the </w:t>
      </w:r>
      <w:r w:rsidRPr="00AB56A1">
        <w:rPr>
          <w:rFonts w:ascii="Times New Roman" w:hAnsi="Times New Roman"/>
          <w:sz w:val="24"/>
          <w:szCs w:val="24"/>
        </w:rPr>
        <w:t>example of Slovenia (the highest minimum wage in the EU counted as a %</w:t>
      </w:r>
      <w:r w:rsidR="00205BDB" w:rsidRPr="00AB56A1">
        <w:rPr>
          <w:rFonts w:ascii="Times New Roman" w:hAnsi="Times New Roman"/>
          <w:sz w:val="24"/>
          <w:szCs w:val="24"/>
        </w:rPr>
        <w:t xml:space="preserve"> </w:t>
      </w:r>
      <w:r w:rsidRPr="00AB56A1">
        <w:rPr>
          <w:rFonts w:ascii="Times New Roman" w:hAnsi="Times New Roman"/>
          <w:sz w:val="24"/>
          <w:szCs w:val="24"/>
        </w:rPr>
        <w:t xml:space="preserve">of the average wage), where the relatively high minimum wage actually translates into a high share of wages in the GDP. On the other </w:t>
      </w:r>
      <w:r w:rsidR="00125C16" w:rsidRPr="00AB56A1">
        <w:rPr>
          <w:rFonts w:ascii="Times New Roman" w:hAnsi="Times New Roman"/>
          <w:sz w:val="24"/>
          <w:szCs w:val="24"/>
        </w:rPr>
        <w:t>hand,</w:t>
      </w:r>
      <w:r w:rsidRPr="00AB56A1">
        <w:rPr>
          <w:rFonts w:ascii="Times New Roman" w:hAnsi="Times New Roman"/>
          <w:sz w:val="24"/>
          <w:szCs w:val="24"/>
        </w:rPr>
        <w:t xml:space="preserve"> however, in Estonia we can observe relatively high wages in spite of a low minimum wage. In Poland, the wages in relation to GDP are at a record low level (only Romania notes lower wages), while the level of </w:t>
      </w:r>
      <w:r w:rsidR="00125C16">
        <w:rPr>
          <w:rFonts w:ascii="Times New Roman" w:hAnsi="Times New Roman"/>
          <w:sz w:val="24"/>
          <w:szCs w:val="24"/>
        </w:rPr>
        <w:t xml:space="preserve">the </w:t>
      </w:r>
      <w:r w:rsidRPr="00AB56A1">
        <w:rPr>
          <w:rFonts w:ascii="Times New Roman" w:hAnsi="Times New Roman"/>
          <w:sz w:val="24"/>
          <w:szCs w:val="24"/>
        </w:rPr>
        <w:t xml:space="preserve">minimum wage is high. In general, the countries of the region use an instrument such as minimum wage in a relatively active way. </w:t>
      </w:r>
      <w:r w:rsidR="00125C16">
        <w:rPr>
          <w:rFonts w:ascii="Times New Roman" w:hAnsi="Times New Roman"/>
          <w:sz w:val="24"/>
          <w:szCs w:val="24"/>
        </w:rPr>
        <w:t>A m</w:t>
      </w:r>
      <w:r w:rsidR="00125C16" w:rsidRPr="00AB56A1">
        <w:rPr>
          <w:rFonts w:ascii="Times New Roman" w:hAnsi="Times New Roman"/>
          <w:sz w:val="24"/>
          <w:szCs w:val="24"/>
        </w:rPr>
        <w:t xml:space="preserve">uch </w:t>
      </w:r>
      <w:r w:rsidRPr="00AB56A1">
        <w:rPr>
          <w:rFonts w:ascii="Times New Roman" w:hAnsi="Times New Roman"/>
          <w:sz w:val="24"/>
          <w:szCs w:val="24"/>
        </w:rPr>
        <w:t>higher number of employee</w:t>
      </w:r>
      <w:r w:rsidR="00125C16">
        <w:rPr>
          <w:rFonts w:ascii="Times New Roman" w:hAnsi="Times New Roman"/>
          <w:sz w:val="24"/>
          <w:szCs w:val="24"/>
        </w:rPr>
        <w:t>s</w:t>
      </w:r>
      <w:r w:rsidRPr="00AB56A1">
        <w:rPr>
          <w:rFonts w:ascii="Times New Roman" w:hAnsi="Times New Roman"/>
          <w:sz w:val="24"/>
          <w:szCs w:val="24"/>
        </w:rPr>
        <w:t xml:space="preserve"> </w:t>
      </w:r>
      <w:r w:rsidR="00125C16">
        <w:rPr>
          <w:rFonts w:ascii="Times New Roman" w:hAnsi="Times New Roman"/>
          <w:sz w:val="24"/>
          <w:szCs w:val="24"/>
        </w:rPr>
        <w:t>are</w:t>
      </w:r>
      <w:r w:rsidR="00125C16" w:rsidRPr="00AB56A1">
        <w:rPr>
          <w:rFonts w:ascii="Times New Roman" w:hAnsi="Times New Roman"/>
          <w:sz w:val="24"/>
          <w:szCs w:val="24"/>
        </w:rPr>
        <w:t xml:space="preserve"> </w:t>
      </w:r>
      <w:r w:rsidRPr="00AB56A1">
        <w:rPr>
          <w:rFonts w:ascii="Times New Roman" w:hAnsi="Times New Roman"/>
          <w:sz w:val="24"/>
          <w:szCs w:val="24"/>
        </w:rPr>
        <w:t>subject to wage regulation that in Western Europe and the dynamics of minimum wage level has been clearly higher in</w:t>
      </w:r>
      <w:r w:rsidR="00125C16">
        <w:rPr>
          <w:rFonts w:ascii="Times New Roman" w:hAnsi="Times New Roman"/>
          <w:sz w:val="24"/>
          <w:szCs w:val="24"/>
        </w:rPr>
        <w:t xml:space="preserve"> the</w:t>
      </w:r>
      <w:r w:rsidRPr="00AB56A1">
        <w:rPr>
          <w:rFonts w:ascii="Times New Roman" w:hAnsi="Times New Roman"/>
          <w:sz w:val="24"/>
          <w:szCs w:val="24"/>
        </w:rPr>
        <w:t xml:space="preserve"> last few years than the increase in the average work performance in the entire economy, which improves the relative position of the least paid workers. </w:t>
      </w:r>
      <w:r w:rsidR="00125C16">
        <w:rPr>
          <w:rFonts w:ascii="Times New Roman" w:hAnsi="Times New Roman"/>
          <w:sz w:val="24"/>
          <w:szCs w:val="24"/>
        </w:rPr>
        <w:t>The n</w:t>
      </w:r>
      <w:r w:rsidRPr="00AB56A1">
        <w:rPr>
          <w:rFonts w:ascii="Times New Roman" w:hAnsi="Times New Roman"/>
          <w:sz w:val="24"/>
          <w:szCs w:val="24"/>
        </w:rPr>
        <w:t>egative effects of increasing minimum wages have not been observed in Central and Eastern Europe – the grey economy has not increased and the emp</w:t>
      </w:r>
      <w:r w:rsidR="00F6479F">
        <w:rPr>
          <w:rFonts w:ascii="Times New Roman" w:hAnsi="Times New Roman"/>
          <w:sz w:val="24"/>
          <w:szCs w:val="24"/>
        </w:rPr>
        <w:t>loyment rate has not decreased (IMF 2016</w:t>
      </w:r>
      <w:r w:rsidRPr="00AB56A1">
        <w:rPr>
          <w:rFonts w:ascii="Times New Roman" w:hAnsi="Times New Roman"/>
          <w:sz w:val="24"/>
          <w:szCs w:val="24"/>
        </w:rPr>
        <w:t>).</w:t>
      </w:r>
    </w:p>
    <w:p w14:paraId="2B7E4522" w14:textId="6B622F01"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 xml:space="preserve">Secondly, in many countries of the region (Poland, Czech Republic, Slovakia, Romania), we observe a high, i.e. higher than in </w:t>
      </w:r>
      <w:r w:rsidR="00125C16">
        <w:rPr>
          <w:rFonts w:ascii="Times New Roman" w:hAnsi="Times New Roman"/>
          <w:sz w:val="24"/>
          <w:szCs w:val="24"/>
        </w:rPr>
        <w:t xml:space="preserve">the </w:t>
      </w:r>
      <w:r w:rsidRPr="00AB56A1">
        <w:rPr>
          <w:rFonts w:ascii="Times New Roman" w:hAnsi="Times New Roman"/>
          <w:sz w:val="24"/>
          <w:szCs w:val="24"/>
        </w:rPr>
        <w:t>so-called old EU</w:t>
      </w:r>
      <w:r w:rsidR="00125C16">
        <w:rPr>
          <w:rFonts w:ascii="Times New Roman" w:hAnsi="Times New Roman"/>
          <w:sz w:val="24"/>
          <w:szCs w:val="24"/>
        </w:rPr>
        <w:t>,</w:t>
      </w:r>
      <w:r w:rsidRPr="00AB56A1">
        <w:rPr>
          <w:rFonts w:ascii="Times New Roman" w:hAnsi="Times New Roman"/>
          <w:sz w:val="24"/>
          <w:szCs w:val="24"/>
        </w:rPr>
        <w:t xml:space="preserve"> self-employment rate on the labour market. It has</w:t>
      </w:r>
      <w:r w:rsidR="00125C16">
        <w:rPr>
          <w:rFonts w:ascii="Times New Roman" w:hAnsi="Times New Roman"/>
          <w:sz w:val="24"/>
          <w:szCs w:val="24"/>
        </w:rPr>
        <w:t xml:space="preserve"> an</w:t>
      </w:r>
      <w:r w:rsidRPr="00AB56A1">
        <w:rPr>
          <w:rFonts w:ascii="Times New Roman" w:hAnsi="Times New Roman"/>
          <w:sz w:val="24"/>
          <w:szCs w:val="24"/>
        </w:rPr>
        <w:t xml:space="preserve"> impact on share of wages in the GDP – the more self-employed there </w:t>
      </w:r>
      <w:r w:rsidR="00125C16">
        <w:rPr>
          <w:rFonts w:ascii="Times New Roman" w:hAnsi="Times New Roman"/>
          <w:sz w:val="24"/>
          <w:szCs w:val="24"/>
        </w:rPr>
        <w:t>are</w:t>
      </w:r>
      <w:r w:rsidRPr="00AB56A1">
        <w:rPr>
          <w:rFonts w:ascii="Times New Roman" w:hAnsi="Times New Roman"/>
          <w:sz w:val="24"/>
          <w:szCs w:val="24"/>
        </w:rPr>
        <w:t>, the lower the number of full-time employees and</w:t>
      </w:r>
      <w:r w:rsidR="00125C16">
        <w:rPr>
          <w:rFonts w:ascii="Times New Roman" w:hAnsi="Times New Roman"/>
          <w:sz w:val="24"/>
          <w:szCs w:val="24"/>
        </w:rPr>
        <w:t>,</w:t>
      </w:r>
      <w:r w:rsidRPr="00AB56A1">
        <w:rPr>
          <w:rFonts w:ascii="Times New Roman" w:hAnsi="Times New Roman"/>
          <w:sz w:val="24"/>
          <w:szCs w:val="24"/>
        </w:rPr>
        <w:t xml:space="preserve"> therefore</w:t>
      </w:r>
      <w:r w:rsidR="00125C16">
        <w:rPr>
          <w:rFonts w:ascii="Times New Roman" w:hAnsi="Times New Roman"/>
          <w:sz w:val="24"/>
          <w:szCs w:val="24"/>
        </w:rPr>
        <w:t>,</w:t>
      </w:r>
      <w:r w:rsidRPr="00AB56A1">
        <w:rPr>
          <w:rFonts w:ascii="Times New Roman" w:hAnsi="Times New Roman"/>
          <w:sz w:val="24"/>
          <w:szCs w:val="24"/>
        </w:rPr>
        <w:t xml:space="preserve"> the relation of wages to the GDP is lower. It is hard to justify an assumption that people in Poland or Czech Republic have any national traits that make them create micro-enterprises instead of having full-time jobs. Such </w:t>
      </w:r>
      <w:r w:rsidR="00125C16">
        <w:rPr>
          <w:rFonts w:ascii="Times New Roman" w:hAnsi="Times New Roman"/>
          <w:sz w:val="24"/>
          <w:szCs w:val="24"/>
        </w:rPr>
        <w:t>a large</w:t>
      </w:r>
      <w:r w:rsidR="00125C16" w:rsidRPr="00AB56A1">
        <w:rPr>
          <w:rFonts w:ascii="Times New Roman" w:hAnsi="Times New Roman"/>
          <w:sz w:val="24"/>
          <w:szCs w:val="24"/>
        </w:rPr>
        <w:t xml:space="preserve"> </w:t>
      </w:r>
      <w:r w:rsidRPr="00AB56A1">
        <w:rPr>
          <w:rFonts w:ascii="Times New Roman" w:hAnsi="Times New Roman"/>
          <w:sz w:val="24"/>
          <w:szCs w:val="24"/>
        </w:rPr>
        <w:t xml:space="preserve">share of self-employed </w:t>
      </w:r>
      <w:r w:rsidR="00125C16">
        <w:rPr>
          <w:rFonts w:ascii="Times New Roman" w:hAnsi="Times New Roman"/>
          <w:sz w:val="24"/>
          <w:szCs w:val="24"/>
        </w:rPr>
        <w:t xml:space="preserve">people </w:t>
      </w:r>
      <w:r w:rsidRPr="00AB56A1">
        <w:rPr>
          <w:rFonts w:ascii="Times New Roman" w:hAnsi="Times New Roman"/>
          <w:sz w:val="24"/>
          <w:szCs w:val="24"/>
        </w:rPr>
        <w:t xml:space="preserve">results from fiscal regulations – social insurance contributions and tax burdens are lower and definitely less progressive than in the case of </w:t>
      </w:r>
      <w:r w:rsidR="00125C16">
        <w:rPr>
          <w:rFonts w:ascii="Times New Roman" w:hAnsi="Times New Roman"/>
          <w:sz w:val="24"/>
          <w:szCs w:val="24"/>
        </w:rPr>
        <w:t>a</w:t>
      </w:r>
      <w:r w:rsidR="00125C16" w:rsidRPr="00AB56A1">
        <w:rPr>
          <w:rFonts w:ascii="Times New Roman" w:hAnsi="Times New Roman"/>
          <w:sz w:val="24"/>
          <w:szCs w:val="24"/>
        </w:rPr>
        <w:t xml:space="preserve"> </w:t>
      </w:r>
      <w:r w:rsidRPr="00AB56A1">
        <w:rPr>
          <w:rFonts w:ascii="Times New Roman" w:hAnsi="Times New Roman"/>
          <w:sz w:val="24"/>
          <w:szCs w:val="24"/>
        </w:rPr>
        <w:t xml:space="preserve">full-time job, so many </w:t>
      </w:r>
      <w:r w:rsidR="00125C16">
        <w:rPr>
          <w:rFonts w:ascii="Times New Roman" w:hAnsi="Times New Roman"/>
          <w:sz w:val="24"/>
          <w:szCs w:val="24"/>
        </w:rPr>
        <w:t>people</w:t>
      </w:r>
      <w:r w:rsidR="00125C16" w:rsidRPr="00AB56A1">
        <w:rPr>
          <w:rFonts w:ascii="Times New Roman" w:hAnsi="Times New Roman"/>
          <w:sz w:val="24"/>
          <w:szCs w:val="24"/>
        </w:rPr>
        <w:t xml:space="preserve"> </w:t>
      </w:r>
      <w:r w:rsidRPr="00AB56A1">
        <w:rPr>
          <w:rFonts w:ascii="Times New Roman" w:hAnsi="Times New Roman"/>
          <w:sz w:val="24"/>
          <w:szCs w:val="24"/>
        </w:rPr>
        <w:t xml:space="preserve">formally conduct business activity, but in fact </w:t>
      </w:r>
      <w:r w:rsidR="00125C16">
        <w:rPr>
          <w:rFonts w:ascii="Times New Roman" w:hAnsi="Times New Roman"/>
          <w:sz w:val="24"/>
          <w:szCs w:val="24"/>
        </w:rPr>
        <w:t>they</w:t>
      </w:r>
      <w:r w:rsidR="00125C16" w:rsidRPr="00AB56A1">
        <w:rPr>
          <w:rFonts w:ascii="Times New Roman" w:hAnsi="Times New Roman"/>
          <w:sz w:val="24"/>
          <w:szCs w:val="24"/>
        </w:rPr>
        <w:t xml:space="preserve"> </w:t>
      </w:r>
      <w:r w:rsidRPr="00AB56A1">
        <w:rPr>
          <w:rFonts w:ascii="Times New Roman" w:hAnsi="Times New Roman"/>
          <w:sz w:val="24"/>
          <w:szCs w:val="24"/>
        </w:rPr>
        <w:t>are employees. We refer here to so-called ‘dependent entrepreneurs’, i.e. those who provide services only for the benefit of one economic entity (</w:t>
      </w:r>
      <w:proofErr w:type="spellStart"/>
      <w:r w:rsidRPr="00AB56A1">
        <w:rPr>
          <w:rFonts w:ascii="Times New Roman" w:hAnsi="Times New Roman"/>
          <w:sz w:val="24"/>
          <w:szCs w:val="24"/>
        </w:rPr>
        <w:t>Cieślik</w:t>
      </w:r>
      <w:proofErr w:type="spellEnd"/>
      <w:r w:rsidRPr="00AB56A1">
        <w:rPr>
          <w:rFonts w:ascii="Times New Roman" w:hAnsi="Times New Roman"/>
          <w:sz w:val="24"/>
          <w:szCs w:val="24"/>
        </w:rPr>
        <w:t xml:space="preserve"> 2014). It applies to both persons </w:t>
      </w:r>
      <w:r w:rsidRPr="00AB56A1">
        <w:rPr>
          <w:rFonts w:ascii="Times New Roman" w:hAnsi="Times New Roman"/>
          <w:sz w:val="24"/>
          <w:szCs w:val="24"/>
        </w:rPr>
        <w:lastRenderedPageBreak/>
        <w:t>from the start and the end of the income distribution. Poorly qualified employees (cleaning services, security etc.) are</w:t>
      </w:r>
      <w:r w:rsidR="00205BDB" w:rsidRPr="00AB56A1">
        <w:rPr>
          <w:rFonts w:ascii="Times New Roman" w:hAnsi="Times New Roman"/>
          <w:sz w:val="24"/>
          <w:szCs w:val="24"/>
        </w:rPr>
        <w:t xml:space="preserve"> </w:t>
      </w:r>
      <w:r w:rsidRPr="00AB56A1">
        <w:rPr>
          <w:rFonts w:ascii="Times New Roman" w:hAnsi="Times New Roman"/>
          <w:sz w:val="24"/>
          <w:szCs w:val="24"/>
        </w:rPr>
        <w:t xml:space="preserve">induced by employers to change </w:t>
      </w:r>
      <w:r w:rsidR="00125C16">
        <w:rPr>
          <w:rFonts w:ascii="Times New Roman" w:hAnsi="Times New Roman"/>
          <w:sz w:val="24"/>
          <w:szCs w:val="24"/>
        </w:rPr>
        <w:t>their</w:t>
      </w:r>
      <w:r w:rsidR="00125C16" w:rsidRPr="00AB56A1">
        <w:rPr>
          <w:rFonts w:ascii="Times New Roman" w:hAnsi="Times New Roman"/>
          <w:sz w:val="24"/>
          <w:szCs w:val="24"/>
        </w:rPr>
        <w:t xml:space="preserve"> </w:t>
      </w:r>
      <w:r w:rsidRPr="00AB56A1">
        <w:rPr>
          <w:rFonts w:ascii="Times New Roman" w:hAnsi="Times New Roman"/>
          <w:sz w:val="24"/>
          <w:szCs w:val="24"/>
        </w:rPr>
        <w:t xml:space="preserve">full-time salary employment to </w:t>
      </w:r>
      <w:r w:rsidR="00125C16">
        <w:rPr>
          <w:rFonts w:ascii="Times New Roman" w:hAnsi="Times New Roman"/>
          <w:sz w:val="24"/>
          <w:szCs w:val="24"/>
        </w:rPr>
        <w:t xml:space="preserve">a </w:t>
      </w:r>
      <w:r w:rsidRPr="00AB56A1">
        <w:rPr>
          <w:rFonts w:ascii="Times New Roman" w:hAnsi="Times New Roman"/>
          <w:sz w:val="24"/>
          <w:szCs w:val="24"/>
        </w:rPr>
        <w:t>contract due to the level of public and legal burdens (taxes and contributions) that are the employer's costs. Whereas highly qualified and paid employees choose to conduct business activity also due to regulations relating to taxes and social contributions as well as because of the feeling of greater freedom and flexibility in time management and qualifications.</w:t>
      </w:r>
    </w:p>
    <w:p w14:paraId="262EEF69" w14:textId="5E4EE7AD"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 xml:space="preserve">Thirdly, Poland clearly stands out from other European countries in terms of </w:t>
      </w:r>
      <w:r w:rsidR="00125C16">
        <w:rPr>
          <w:rFonts w:ascii="Times New Roman" w:hAnsi="Times New Roman"/>
          <w:sz w:val="24"/>
          <w:szCs w:val="24"/>
        </w:rPr>
        <w:t xml:space="preserve">the </w:t>
      </w:r>
      <w:r w:rsidRPr="00AB56A1">
        <w:rPr>
          <w:rFonts w:ascii="Times New Roman" w:hAnsi="Times New Roman"/>
          <w:sz w:val="24"/>
          <w:szCs w:val="24"/>
        </w:rPr>
        <w:t xml:space="preserve">share of people employed on fixed-term contracts which in Poland to a large extent correspond to work based on a legal-civil contract and not to a full-time salaried employment. What is interesting, as many as 14.5% of Polish people (mean for the whole EU is 11.7% according to Eurostat data) working on a basis of fixed-term contracts claims that they do not seek regular employment. As in the case of self-employed people, in the case of </w:t>
      </w:r>
      <w:r w:rsidR="00125C16">
        <w:rPr>
          <w:rFonts w:ascii="Times New Roman" w:hAnsi="Times New Roman"/>
          <w:sz w:val="24"/>
          <w:szCs w:val="24"/>
        </w:rPr>
        <w:t>which</w:t>
      </w:r>
      <w:r w:rsidRPr="00AB56A1">
        <w:rPr>
          <w:rFonts w:ascii="Times New Roman" w:hAnsi="Times New Roman"/>
          <w:sz w:val="24"/>
          <w:szCs w:val="24"/>
        </w:rPr>
        <w:t xml:space="preserve"> Poland is also the leader, it is caused by fiscal regulations in terms of social insurance contributions – the earnings obtained on the basis of a legal-civil contract is less subjected to contributions than in the case of salaried employment which makes </w:t>
      </w:r>
      <w:r w:rsidR="00125C16">
        <w:rPr>
          <w:rFonts w:ascii="Times New Roman" w:hAnsi="Times New Roman"/>
          <w:sz w:val="24"/>
          <w:szCs w:val="24"/>
        </w:rPr>
        <w:t xml:space="preserve">it so </w:t>
      </w:r>
      <w:r w:rsidRPr="00AB56A1">
        <w:rPr>
          <w:rFonts w:ascii="Times New Roman" w:hAnsi="Times New Roman"/>
          <w:sz w:val="24"/>
          <w:szCs w:val="24"/>
        </w:rPr>
        <w:t xml:space="preserve">that the amount of disposable salary for the employee is higher. </w:t>
      </w:r>
      <w:r w:rsidR="00125C16">
        <w:rPr>
          <w:rFonts w:ascii="Times New Roman" w:hAnsi="Times New Roman"/>
          <w:sz w:val="24"/>
          <w:szCs w:val="24"/>
        </w:rPr>
        <w:t>Therefore,</w:t>
      </w:r>
      <w:r w:rsidR="00125C16" w:rsidRPr="00AB56A1">
        <w:rPr>
          <w:rFonts w:ascii="Times New Roman" w:hAnsi="Times New Roman"/>
          <w:sz w:val="24"/>
          <w:szCs w:val="24"/>
        </w:rPr>
        <w:t xml:space="preserve"> </w:t>
      </w:r>
      <w:r w:rsidRPr="00AB56A1">
        <w:rPr>
          <w:rFonts w:ascii="Times New Roman" w:hAnsi="Times New Roman"/>
          <w:sz w:val="24"/>
          <w:szCs w:val="24"/>
        </w:rPr>
        <w:t xml:space="preserve">if the role of legal-civil contracts gains importance in the economy and work of this type concerns mainly the least paid workers, the disposable salary of the least paid workers increases faster than the salary of the rest of </w:t>
      </w:r>
      <w:r w:rsidR="00125C16">
        <w:rPr>
          <w:rFonts w:ascii="Times New Roman" w:hAnsi="Times New Roman"/>
          <w:sz w:val="24"/>
          <w:szCs w:val="24"/>
        </w:rPr>
        <w:t xml:space="preserve">the </w:t>
      </w:r>
      <w:r w:rsidRPr="00AB56A1">
        <w:rPr>
          <w:rFonts w:ascii="Times New Roman" w:hAnsi="Times New Roman"/>
          <w:sz w:val="24"/>
          <w:szCs w:val="24"/>
        </w:rPr>
        <w:t xml:space="preserve">employees, so the general income inequalities indexes decrease – the Gini coefficient has been decreasing since 2006. We should keep in </w:t>
      </w:r>
      <w:r w:rsidR="00125C16">
        <w:rPr>
          <w:rFonts w:ascii="Times New Roman" w:hAnsi="Times New Roman"/>
          <w:sz w:val="24"/>
          <w:szCs w:val="24"/>
        </w:rPr>
        <w:t>mind,</w:t>
      </w:r>
      <w:r w:rsidR="00125C16" w:rsidRPr="00AB56A1">
        <w:rPr>
          <w:rFonts w:ascii="Times New Roman" w:hAnsi="Times New Roman"/>
          <w:sz w:val="24"/>
          <w:szCs w:val="24"/>
        </w:rPr>
        <w:t xml:space="preserve"> </w:t>
      </w:r>
      <w:r w:rsidRPr="00AB56A1">
        <w:rPr>
          <w:rFonts w:ascii="Times New Roman" w:hAnsi="Times New Roman"/>
          <w:sz w:val="24"/>
          <w:szCs w:val="24"/>
        </w:rPr>
        <w:t>however</w:t>
      </w:r>
      <w:r w:rsidR="00125C16">
        <w:rPr>
          <w:rFonts w:ascii="Times New Roman" w:hAnsi="Times New Roman"/>
          <w:sz w:val="24"/>
          <w:szCs w:val="24"/>
        </w:rPr>
        <w:t>,</w:t>
      </w:r>
      <w:r w:rsidRPr="00AB56A1">
        <w:rPr>
          <w:rFonts w:ascii="Times New Roman" w:hAnsi="Times New Roman"/>
          <w:sz w:val="24"/>
          <w:szCs w:val="24"/>
        </w:rPr>
        <w:t xml:space="preserve"> that a pension scheme based on the rule of defined contribution is applicable in Poland, so although lower contributions from the earnings increase the level of current disposable salary, they also decrease the level of retirement pension to be paid out in the future because a lower sum of contributions has been paid to an individual account the amount of which will determine the level of future retirement benefits. Therefore, even though the growing number of legal-civil contracts decreases to a certain extent</w:t>
      </w:r>
      <w:r w:rsidR="00B35044">
        <w:rPr>
          <w:rFonts w:ascii="Times New Roman" w:hAnsi="Times New Roman"/>
          <w:sz w:val="24"/>
          <w:szCs w:val="24"/>
        </w:rPr>
        <w:t xml:space="preserve"> the</w:t>
      </w:r>
      <w:r w:rsidRPr="00AB56A1">
        <w:rPr>
          <w:rFonts w:ascii="Times New Roman" w:hAnsi="Times New Roman"/>
          <w:sz w:val="24"/>
          <w:szCs w:val="24"/>
        </w:rPr>
        <w:t xml:space="preserve"> income inequalities today, it will translate into a high differentiation of retirement benefits levels in the future, which should </w:t>
      </w:r>
      <w:r w:rsidR="00B35044">
        <w:rPr>
          <w:rFonts w:ascii="Times New Roman" w:hAnsi="Times New Roman"/>
          <w:sz w:val="24"/>
          <w:szCs w:val="24"/>
        </w:rPr>
        <w:t>increase the</w:t>
      </w:r>
      <w:r w:rsidR="00B35044" w:rsidRPr="00AB56A1">
        <w:rPr>
          <w:rFonts w:ascii="Times New Roman" w:hAnsi="Times New Roman"/>
          <w:sz w:val="24"/>
          <w:szCs w:val="24"/>
        </w:rPr>
        <w:t xml:space="preserve"> </w:t>
      </w:r>
      <w:r w:rsidRPr="00AB56A1">
        <w:rPr>
          <w:rFonts w:ascii="Times New Roman" w:hAnsi="Times New Roman"/>
          <w:sz w:val="24"/>
          <w:szCs w:val="24"/>
        </w:rPr>
        <w:t xml:space="preserve">concerns of lawmakers about social cohesion in </w:t>
      </w:r>
      <w:r w:rsidR="00B35044">
        <w:rPr>
          <w:rFonts w:ascii="Times New Roman" w:hAnsi="Times New Roman"/>
          <w:sz w:val="24"/>
          <w:szCs w:val="24"/>
        </w:rPr>
        <w:t xml:space="preserve">the </w:t>
      </w:r>
      <w:r w:rsidRPr="00AB56A1">
        <w:rPr>
          <w:rFonts w:ascii="Times New Roman" w:hAnsi="Times New Roman"/>
          <w:sz w:val="24"/>
          <w:szCs w:val="24"/>
        </w:rPr>
        <w:t xml:space="preserve">long-term perspective. </w:t>
      </w:r>
      <w:r w:rsidR="00B35044">
        <w:rPr>
          <w:rFonts w:ascii="Times New Roman" w:hAnsi="Times New Roman"/>
          <w:sz w:val="24"/>
          <w:szCs w:val="24"/>
        </w:rPr>
        <w:t>We</w:t>
      </w:r>
      <w:r w:rsidR="00B35044" w:rsidRPr="00AB56A1">
        <w:rPr>
          <w:rFonts w:ascii="Times New Roman" w:hAnsi="Times New Roman"/>
          <w:sz w:val="24"/>
          <w:szCs w:val="24"/>
        </w:rPr>
        <w:t xml:space="preserve"> </w:t>
      </w:r>
      <w:r w:rsidRPr="00AB56A1">
        <w:rPr>
          <w:rFonts w:ascii="Times New Roman" w:hAnsi="Times New Roman"/>
          <w:sz w:val="24"/>
          <w:szCs w:val="24"/>
        </w:rPr>
        <w:t xml:space="preserve">must </w:t>
      </w:r>
      <w:r w:rsidR="00B35044">
        <w:rPr>
          <w:rFonts w:ascii="Times New Roman" w:hAnsi="Times New Roman"/>
          <w:sz w:val="24"/>
          <w:szCs w:val="24"/>
        </w:rPr>
        <w:t>also not</w:t>
      </w:r>
      <w:r w:rsidR="00B35044" w:rsidRPr="00AB56A1">
        <w:rPr>
          <w:rFonts w:ascii="Times New Roman" w:hAnsi="Times New Roman"/>
          <w:sz w:val="24"/>
          <w:szCs w:val="24"/>
        </w:rPr>
        <w:t xml:space="preserve"> </w:t>
      </w:r>
      <w:r w:rsidRPr="00AB56A1">
        <w:rPr>
          <w:rFonts w:ascii="Times New Roman" w:hAnsi="Times New Roman"/>
          <w:sz w:val="24"/>
          <w:szCs w:val="24"/>
        </w:rPr>
        <w:t xml:space="preserve">overlook the employee extra benefits (paid annual leaves and sick leaves) that are associated only with salaried employment, so those who work under rules </w:t>
      </w:r>
      <w:r w:rsidR="00B35044">
        <w:rPr>
          <w:rFonts w:ascii="Times New Roman" w:hAnsi="Times New Roman"/>
          <w:sz w:val="24"/>
          <w:szCs w:val="24"/>
        </w:rPr>
        <w:t xml:space="preserve">other </w:t>
      </w:r>
      <w:r w:rsidRPr="00AB56A1">
        <w:rPr>
          <w:rFonts w:ascii="Times New Roman" w:hAnsi="Times New Roman"/>
          <w:sz w:val="24"/>
          <w:szCs w:val="24"/>
        </w:rPr>
        <w:t xml:space="preserve">than the employment contract cannot enjoy them. Another consequence of such </w:t>
      </w:r>
      <w:r w:rsidR="00B35044">
        <w:rPr>
          <w:rFonts w:ascii="Times New Roman" w:hAnsi="Times New Roman"/>
          <w:sz w:val="24"/>
          <w:szCs w:val="24"/>
        </w:rPr>
        <w:t xml:space="preserve">a </w:t>
      </w:r>
      <w:r w:rsidRPr="00AB56A1">
        <w:rPr>
          <w:rFonts w:ascii="Times New Roman" w:hAnsi="Times New Roman"/>
          <w:sz w:val="24"/>
          <w:szCs w:val="24"/>
        </w:rPr>
        <w:t>great share of non-salaried employees is a much lower performance of the basic income correction tools – the minimum wage is not applicable to civil-law contracts</w:t>
      </w:r>
      <w:r w:rsidRPr="00AB56A1">
        <w:rPr>
          <w:rFonts w:ascii="Times New Roman" w:eastAsia="Times New Roman" w:hAnsi="Times New Roman" w:cs="Times New Roman"/>
          <w:sz w:val="24"/>
          <w:szCs w:val="24"/>
          <w:vertAlign w:val="superscript"/>
        </w:rPr>
        <w:footnoteReference w:id="9"/>
      </w:r>
      <w:r w:rsidRPr="00AB56A1">
        <w:rPr>
          <w:rFonts w:ascii="Times New Roman" w:hAnsi="Times New Roman"/>
          <w:sz w:val="24"/>
          <w:szCs w:val="24"/>
        </w:rPr>
        <w:t xml:space="preserve">, while </w:t>
      </w:r>
      <w:r w:rsidR="00B35044">
        <w:rPr>
          <w:rFonts w:ascii="Times New Roman" w:hAnsi="Times New Roman"/>
          <w:sz w:val="24"/>
          <w:szCs w:val="24"/>
        </w:rPr>
        <w:t xml:space="preserve">the </w:t>
      </w:r>
      <w:r w:rsidRPr="00AB56A1">
        <w:rPr>
          <w:rFonts w:ascii="Times New Roman" w:hAnsi="Times New Roman"/>
          <w:sz w:val="24"/>
          <w:szCs w:val="24"/>
        </w:rPr>
        <w:t>income of self-</w:t>
      </w:r>
      <w:r w:rsidRPr="00AB56A1">
        <w:rPr>
          <w:rFonts w:ascii="Times New Roman" w:hAnsi="Times New Roman"/>
          <w:sz w:val="24"/>
          <w:szCs w:val="24"/>
        </w:rPr>
        <w:lastRenderedPageBreak/>
        <w:t>employed may be subject to uniform tax rate, so they are not subject to progression in the personal income tax.</w:t>
      </w:r>
    </w:p>
    <w:p w14:paraId="71A3629D"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p>
    <w:p w14:paraId="240B0837" w14:textId="65954D69" w:rsidR="00916C90" w:rsidRDefault="00C75AA3" w:rsidP="00AB05A6">
      <w:pPr>
        <w:spacing w:after="0" w:line="360" w:lineRule="auto"/>
        <w:ind w:firstLine="708"/>
        <w:jc w:val="both"/>
        <w:rPr>
          <w:rFonts w:ascii="Times New Roman" w:hAnsi="Times New Roman"/>
          <w:b/>
          <w:sz w:val="24"/>
          <w:szCs w:val="24"/>
        </w:rPr>
      </w:pPr>
      <w:r w:rsidRPr="00AB56A1">
        <w:rPr>
          <w:rFonts w:ascii="Times New Roman" w:hAnsi="Times New Roman"/>
          <w:b/>
          <w:sz w:val="24"/>
          <w:szCs w:val="24"/>
        </w:rPr>
        <w:t>Emigration and labour markets in the EU</w:t>
      </w:r>
    </w:p>
    <w:p w14:paraId="2BC7AE15" w14:textId="4D58B95E" w:rsidR="000445BA" w:rsidRDefault="000445BA" w:rsidP="00AB05A6">
      <w:pPr>
        <w:spacing w:after="0" w:line="360" w:lineRule="auto"/>
        <w:ind w:firstLine="708"/>
        <w:jc w:val="both"/>
        <w:rPr>
          <w:rFonts w:ascii="Times New Roman" w:eastAsia="Times New Roman" w:hAnsi="Times New Roman" w:cs="Times New Roman"/>
          <w:b/>
          <w:sz w:val="24"/>
          <w:szCs w:val="24"/>
        </w:rPr>
      </w:pPr>
    </w:p>
    <w:p w14:paraId="3443E023" w14:textId="77777777" w:rsidR="000445BA" w:rsidRPr="000445BA" w:rsidRDefault="000445BA" w:rsidP="000445BA">
      <w:pPr>
        <w:spacing w:after="0" w:line="360" w:lineRule="auto"/>
        <w:ind w:firstLine="708"/>
        <w:jc w:val="both"/>
        <w:rPr>
          <w:rFonts w:ascii="Times New Roman" w:eastAsia="Times New Roman" w:hAnsi="Times New Roman" w:cs="Times New Roman"/>
          <w:sz w:val="24"/>
          <w:szCs w:val="24"/>
          <w:lang w:val="en-AU"/>
        </w:rPr>
      </w:pPr>
      <w:r w:rsidRPr="000445BA">
        <w:rPr>
          <w:rFonts w:ascii="Times New Roman" w:eastAsia="Times New Roman" w:hAnsi="Times New Roman" w:cs="Times New Roman"/>
          <w:sz w:val="24"/>
          <w:szCs w:val="24"/>
          <w:lang w:val="en-AU"/>
        </w:rPr>
        <w:t>Creating common European labour market must have led to the massive flows of people from “new”, poor states to the much richer West. In the case of Baltic countries or Romania, more than 10% of population left the country what must have effect both for sending and receiving countries. Initial estimates of economic effects of migration within the EU, give rather positive picture (</w:t>
      </w:r>
      <w:proofErr w:type="spellStart"/>
      <w:r w:rsidRPr="000445BA">
        <w:rPr>
          <w:rFonts w:ascii="Times New Roman" w:eastAsia="Times New Roman" w:hAnsi="Times New Roman" w:cs="Times New Roman"/>
          <w:sz w:val="24"/>
          <w:szCs w:val="24"/>
          <w:lang w:val="en-AU"/>
        </w:rPr>
        <w:t>Kahanec</w:t>
      </w:r>
      <w:proofErr w:type="spellEnd"/>
      <w:r w:rsidRPr="000445BA">
        <w:rPr>
          <w:rFonts w:ascii="Times New Roman" w:eastAsia="Times New Roman" w:hAnsi="Times New Roman" w:cs="Times New Roman"/>
          <w:sz w:val="24"/>
          <w:szCs w:val="24"/>
          <w:lang w:val="en-AU"/>
        </w:rPr>
        <w:t xml:space="preserve">, Zimmermann 2014; </w:t>
      </w:r>
      <w:proofErr w:type="spellStart"/>
      <w:r w:rsidRPr="000445BA">
        <w:rPr>
          <w:rFonts w:ascii="Times New Roman" w:eastAsia="Times New Roman" w:hAnsi="Times New Roman" w:cs="Times New Roman"/>
          <w:sz w:val="24"/>
          <w:szCs w:val="24"/>
          <w:lang w:val="en-AU"/>
        </w:rPr>
        <w:t>Kahanec</w:t>
      </w:r>
      <w:proofErr w:type="spellEnd"/>
      <w:r w:rsidRPr="000445BA">
        <w:rPr>
          <w:rFonts w:ascii="Times New Roman" w:eastAsia="Times New Roman" w:hAnsi="Times New Roman" w:cs="Times New Roman"/>
          <w:sz w:val="24"/>
          <w:szCs w:val="24"/>
          <w:lang w:val="en-AU"/>
        </w:rPr>
        <w:t>, Zimmermann 2010):</w:t>
      </w:r>
    </w:p>
    <w:p w14:paraId="2AFA6E84" w14:textId="77777777" w:rsidR="000445BA" w:rsidRPr="000445BA" w:rsidRDefault="000445BA" w:rsidP="000445BA">
      <w:pPr>
        <w:spacing w:after="0" w:line="360" w:lineRule="auto"/>
        <w:ind w:firstLine="708"/>
        <w:jc w:val="both"/>
        <w:rPr>
          <w:rFonts w:ascii="Times New Roman" w:eastAsia="Times New Roman" w:hAnsi="Times New Roman" w:cs="Times New Roman"/>
          <w:sz w:val="24"/>
          <w:szCs w:val="24"/>
          <w:lang w:val="en-AU"/>
        </w:rPr>
      </w:pPr>
      <w:r w:rsidRPr="000445BA">
        <w:rPr>
          <w:rFonts w:ascii="Times New Roman" w:eastAsia="Times New Roman" w:hAnsi="Times New Roman" w:cs="Times New Roman"/>
          <w:sz w:val="24"/>
          <w:szCs w:val="24"/>
          <w:lang w:val="en-AU"/>
        </w:rPr>
        <w:t>- there is positive impact on the entire EU economy by improving allocation of the resources,</w:t>
      </w:r>
    </w:p>
    <w:p w14:paraId="646E8296" w14:textId="77777777" w:rsidR="000445BA" w:rsidRPr="000445BA" w:rsidRDefault="000445BA" w:rsidP="000445BA">
      <w:pPr>
        <w:spacing w:after="0" w:line="360" w:lineRule="auto"/>
        <w:ind w:firstLine="708"/>
        <w:jc w:val="both"/>
        <w:rPr>
          <w:rFonts w:ascii="Times New Roman" w:eastAsia="Times New Roman" w:hAnsi="Times New Roman" w:cs="Times New Roman"/>
          <w:sz w:val="24"/>
          <w:szCs w:val="24"/>
          <w:lang w:val="en-AU"/>
        </w:rPr>
      </w:pPr>
      <w:r w:rsidRPr="000445BA">
        <w:rPr>
          <w:rFonts w:ascii="Times New Roman" w:eastAsia="Times New Roman" w:hAnsi="Times New Roman" w:cs="Times New Roman"/>
          <w:sz w:val="24"/>
          <w:szCs w:val="24"/>
          <w:lang w:val="en-AU"/>
        </w:rPr>
        <w:t xml:space="preserve">- some small negative effects on labour markets in receiving countries (unemployment level, limited dynamics in salaries) are compensated by much bigger positive effects in the sending countries, </w:t>
      </w:r>
    </w:p>
    <w:p w14:paraId="7E949D03" w14:textId="77777777" w:rsidR="000445BA" w:rsidRPr="000445BA" w:rsidRDefault="000445BA" w:rsidP="000445BA">
      <w:pPr>
        <w:spacing w:after="0" w:line="360" w:lineRule="auto"/>
        <w:ind w:firstLine="708"/>
        <w:jc w:val="both"/>
        <w:rPr>
          <w:rFonts w:ascii="Times New Roman" w:eastAsia="Times New Roman" w:hAnsi="Times New Roman" w:cs="Times New Roman"/>
          <w:sz w:val="24"/>
          <w:szCs w:val="24"/>
          <w:lang w:val="en-AU"/>
        </w:rPr>
      </w:pPr>
      <w:r w:rsidRPr="000445BA">
        <w:rPr>
          <w:rFonts w:ascii="Times New Roman" w:eastAsia="Times New Roman" w:hAnsi="Times New Roman" w:cs="Times New Roman"/>
          <w:sz w:val="24"/>
          <w:szCs w:val="24"/>
          <w:lang w:val="en-AU"/>
        </w:rPr>
        <w:t xml:space="preserve">- increase in income inequalities in the Western countries should be linked rather with global mechanisms and not with inflow of workers from Eastern Europe, </w:t>
      </w:r>
    </w:p>
    <w:p w14:paraId="26588B34" w14:textId="77777777" w:rsidR="000445BA" w:rsidRPr="000445BA" w:rsidRDefault="000445BA" w:rsidP="000445BA">
      <w:pPr>
        <w:spacing w:after="0" w:line="360" w:lineRule="auto"/>
        <w:ind w:firstLine="708"/>
        <w:jc w:val="both"/>
        <w:rPr>
          <w:rFonts w:ascii="Times New Roman" w:eastAsia="Times New Roman" w:hAnsi="Times New Roman" w:cs="Times New Roman"/>
          <w:sz w:val="24"/>
          <w:szCs w:val="24"/>
          <w:lang w:val="en-AU"/>
        </w:rPr>
      </w:pPr>
      <w:r w:rsidRPr="000445BA">
        <w:rPr>
          <w:rFonts w:ascii="Times New Roman" w:eastAsia="Times New Roman" w:hAnsi="Times New Roman" w:cs="Times New Roman"/>
          <w:sz w:val="24"/>
          <w:szCs w:val="24"/>
          <w:lang w:val="en-AU"/>
        </w:rPr>
        <w:t>-  income gap between EU countries has been closing.</w:t>
      </w:r>
    </w:p>
    <w:p w14:paraId="2DE12155" w14:textId="7AA1940C" w:rsidR="000445BA" w:rsidRPr="000445BA" w:rsidRDefault="000445BA" w:rsidP="000445BA">
      <w:pPr>
        <w:spacing w:after="0" w:line="360" w:lineRule="auto"/>
        <w:ind w:firstLine="708"/>
        <w:jc w:val="both"/>
        <w:rPr>
          <w:rFonts w:ascii="Times New Roman" w:eastAsia="Times New Roman" w:hAnsi="Times New Roman" w:cs="Times New Roman"/>
          <w:sz w:val="24"/>
          <w:szCs w:val="24"/>
          <w:lang w:val="en-AU"/>
        </w:rPr>
      </w:pPr>
      <w:r w:rsidRPr="000445BA">
        <w:rPr>
          <w:rFonts w:ascii="Times New Roman" w:eastAsia="Times New Roman" w:hAnsi="Times New Roman" w:cs="Times New Roman"/>
          <w:sz w:val="24"/>
          <w:szCs w:val="24"/>
          <w:lang w:val="en-AU"/>
        </w:rPr>
        <w:t>But, on the other hand, massive outflow of the labour force from post-socialist countries, weakens its development potential, what in the long term can endanger proces</w:t>
      </w:r>
      <w:r w:rsidR="00F57446">
        <w:rPr>
          <w:rFonts w:ascii="Times New Roman" w:eastAsia="Times New Roman" w:hAnsi="Times New Roman" w:cs="Times New Roman"/>
          <w:sz w:val="24"/>
          <w:szCs w:val="24"/>
          <w:lang w:val="en-AU"/>
        </w:rPr>
        <w:t>s</w:t>
      </w:r>
      <w:r w:rsidRPr="000445BA">
        <w:rPr>
          <w:rFonts w:ascii="Times New Roman" w:eastAsia="Times New Roman" w:hAnsi="Times New Roman" w:cs="Times New Roman"/>
          <w:sz w:val="24"/>
          <w:szCs w:val="24"/>
          <w:lang w:val="en-AU"/>
        </w:rPr>
        <w:t xml:space="preserve"> real convergence between national economies (</w:t>
      </w:r>
      <w:proofErr w:type="spellStart"/>
      <w:r w:rsidRPr="000445BA">
        <w:rPr>
          <w:rFonts w:ascii="Times New Roman" w:eastAsia="Times New Roman" w:hAnsi="Times New Roman" w:cs="Times New Roman"/>
          <w:sz w:val="24"/>
          <w:szCs w:val="24"/>
          <w:lang w:val="en-AU"/>
        </w:rPr>
        <w:t>Podpiera</w:t>
      </w:r>
      <w:proofErr w:type="spellEnd"/>
      <w:r w:rsidRPr="000445BA">
        <w:rPr>
          <w:rFonts w:ascii="Times New Roman" w:eastAsia="Times New Roman" w:hAnsi="Times New Roman" w:cs="Times New Roman"/>
          <w:sz w:val="24"/>
          <w:szCs w:val="24"/>
          <w:lang w:val="en-AU"/>
        </w:rPr>
        <w:t xml:space="preserve">, </w:t>
      </w:r>
      <w:proofErr w:type="spellStart"/>
      <w:r w:rsidRPr="000445BA">
        <w:rPr>
          <w:rFonts w:ascii="Times New Roman" w:eastAsia="Times New Roman" w:hAnsi="Times New Roman" w:cs="Times New Roman"/>
          <w:sz w:val="24"/>
          <w:szCs w:val="24"/>
          <w:lang w:val="en-AU"/>
        </w:rPr>
        <w:t>Raei</w:t>
      </w:r>
      <w:proofErr w:type="spellEnd"/>
      <w:r w:rsidRPr="000445BA">
        <w:rPr>
          <w:rFonts w:ascii="Times New Roman" w:eastAsia="Times New Roman" w:hAnsi="Times New Roman" w:cs="Times New Roman"/>
          <w:sz w:val="24"/>
          <w:szCs w:val="24"/>
          <w:lang w:val="en-AU"/>
        </w:rPr>
        <w:t xml:space="preserve">, </w:t>
      </w:r>
      <w:proofErr w:type="spellStart"/>
      <w:r w:rsidRPr="000445BA">
        <w:rPr>
          <w:rFonts w:ascii="Times New Roman" w:eastAsia="Times New Roman" w:hAnsi="Times New Roman" w:cs="Times New Roman"/>
          <w:sz w:val="24"/>
          <w:szCs w:val="24"/>
          <w:lang w:val="en-AU"/>
        </w:rPr>
        <w:t>Stepanyan</w:t>
      </w:r>
      <w:proofErr w:type="spellEnd"/>
      <w:r w:rsidRPr="000445BA">
        <w:rPr>
          <w:rFonts w:ascii="Times New Roman" w:eastAsia="Times New Roman" w:hAnsi="Times New Roman" w:cs="Times New Roman"/>
          <w:sz w:val="24"/>
          <w:szCs w:val="24"/>
          <w:lang w:val="en-AU"/>
        </w:rPr>
        <w:t xml:space="preserve"> 2017, </w:t>
      </w:r>
      <w:proofErr w:type="spellStart"/>
      <w:r w:rsidRPr="000445BA">
        <w:rPr>
          <w:rFonts w:ascii="Times New Roman" w:eastAsia="Times New Roman" w:hAnsi="Times New Roman" w:cs="Times New Roman"/>
          <w:sz w:val="24"/>
          <w:szCs w:val="24"/>
          <w:lang w:val="en-AU"/>
        </w:rPr>
        <w:t>Atoyan</w:t>
      </w:r>
      <w:proofErr w:type="spellEnd"/>
      <w:r w:rsidRPr="000445BA">
        <w:rPr>
          <w:rFonts w:ascii="Times New Roman" w:eastAsia="Times New Roman" w:hAnsi="Times New Roman" w:cs="Times New Roman"/>
          <w:sz w:val="24"/>
          <w:szCs w:val="24"/>
          <w:lang w:val="en-AU"/>
        </w:rPr>
        <w:t xml:space="preserve"> et. al 2016).</w:t>
      </w:r>
    </w:p>
    <w:p w14:paraId="5FCC1B65" w14:textId="45B41724" w:rsidR="000445BA" w:rsidRPr="00AB56A1" w:rsidRDefault="000445BA" w:rsidP="00AB05A6">
      <w:pPr>
        <w:spacing w:after="0" w:line="360" w:lineRule="auto"/>
        <w:ind w:firstLine="708"/>
        <w:jc w:val="both"/>
        <w:rPr>
          <w:rFonts w:ascii="Times New Roman" w:eastAsia="Times New Roman" w:hAnsi="Times New Roman" w:cs="Times New Roman"/>
          <w:b/>
          <w:sz w:val="24"/>
          <w:szCs w:val="24"/>
        </w:rPr>
      </w:pPr>
      <w:r w:rsidRPr="000445BA">
        <w:rPr>
          <w:rFonts w:ascii="Times New Roman" w:eastAsia="Times New Roman" w:hAnsi="Times New Roman" w:cs="Times New Roman"/>
          <w:sz w:val="24"/>
          <w:szCs w:val="24"/>
          <w:lang w:val="en-US"/>
        </w:rPr>
        <w:t xml:space="preserve">As for today, one could indicate several economic processes which are tightly connected with the European integration and certainly will influence the structure of incomes in the economies of the member countries of the European Union. </w:t>
      </w:r>
    </w:p>
    <w:p w14:paraId="77C36728" w14:textId="60337231" w:rsidR="00916C90" w:rsidRPr="00AB56A1" w:rsidRDefault="00916C90" w:rsidP="00AB05A6">
      <w:pPr>
        <w:spacing w:after="0" w:line="360" w:lineRule="auto"/>
        <w:ind w:firstLine="708"/>
        <w:jc w:val="both"/>
        <w:rPr>
          <w:rFonts w:ascii="Times New Roman" w:eastAsia="Times New Roman" w:hAnsi="Times New Roman" w:cs="Times New Roman"/>
          <w:sz w:val="24"/>
          <w:szCs w:val="24"/>
        </w:rPr>
      </w:pPr>
      <w:r w:rsidRPr="00AB56A1">
        <w:rPr>
          <w:rFonts w:ascii="Times New Roman" w:hAnsi="Times New Roman"/>
          <w:sz w:val="24"/>
          <w:szCs w:val="24"/>
        </w:rPr>
        <w:t>Right after opening their own labour markets by certain countries of Western Europe, an almost massive inflow of workers from Central Europe occurred; many of them had relatively low qualifications, but</w:t>
      </w:r>
      <w:r w:rsidR="00B35044">
        <w:rPr>
          <w:rFonts w:ascii="Times New Roman" w:hAnsi="Times New Roman"/>
          <w:sz w:val="24"/>
          <w:szCs w:val="24"/>
        </w:rPr>
        <w:t>,</w:t>
      </w:r>
      <w:r w:rsidRPr="00AB56A1">
        <w:rPr>
          <w:rFonts w:ascii="Times New Roman" w:hAnsi="Times New Roman"/>
          <w:sz w:val="24"/>
          <w:szCs w:val="24"/>
        </w:rPr>
        <w:t xml:space="preserve"> on the other hand</w:t>
      </w:r>
      <w:r w:rsidR="00B35044">
        <w:rPr>
          <w:rFonts w:ascii="Times New Roman" w:hAnsi="Times New Roman"/>
          <w:sz w:val="24"/>
          <w:szCs w:val="24"/>
        </w:rPr>
        <w:t>,</w:t>
      </w:r>
      <w:r w:rsidRPr="00AB56A1">
        <w:rPr>
          <w:rFonts w:ascii="Times New Roman" w:hAnsi="Times New Roman"/>
          <w:sz w:val="24"/>
          <w:szCs w:val="24"/>
        </w:rPr>
        <w:t xml:space="preserve"> they represented branches that suffer from </w:t>
      </w:r>
      <w:r w:rsidR="00B35044">
        <w:rPr>
          <w:rFonts w:ascii="Times New Roman" w:hAnsi="Times New Roman"/>
          <w:sz w:val="24"/>
          <w:szCs w:val="24"/>
        </w:rPr>
        <w:t xml:space="preserve">a </w:t>
      </w:r>
      <w:r w:rsidRPr="00AB56A1">
        <w:rPr>
          <w:rFonts w:ascii="Times New Roman" w:hAnsi="Times New Roman"/>
          <w:sz w:val="24"/>
          <w:szCs w:val="24"/>
        </w:rPr>
        <w:t xml:space="preserve">lack of workers in the West (construction industry, renovations, agriculture). In a short amount of time, an outflow of a huge mass of workers from counties of Central Europe caused an increase in </w:t>
      </w:r>
      <w:r w:rsidR="00B35044">
        <w:rPr>
          <w:rFonts w:ascii="Times New Roman" w:hAnsi="Times New Roman"/>
          <w:sz w:val="24"/>
          <w:szCs w:val="24"/>
        </w:rPr>
        <w:t xml:space="preserve">the </w:t>
      </w:r>
      <w:r w:rsidRPr="00AB56A1">
        <w:rPr>
          <w:rFonts w:ascii="Times New Roman" w:hAnsi="Times New Roman"/>
          <w:sz w:val="24"/>
          <w:szCs w:val="24"/>
        </w:rPr>
        <w:t xml:space="preserve">income of those workers who stayed where they </w:t>
      </w:r>
      <w:r w:rsidR="00B35044">
        <w:rPr>
          <w:rFonts w:ascii="Times New Roman" w:hAnsi="Times New Roman"/>
          <w:sz w:val="24"/>
          <w:szCs w:val="24"/>
        </w:rPr>
        <w:t>were</w:t>
      </w:r>
      <w:r w:rsidRPr="00AB56A1">
        <w:rPr>
          <w:rFonts w:ascii="Times New Roman" w:hAnsi="Times New Roman"/>
          <w:sz w:val="24"/>
          <w:szCs w:val="24"/>
        </w:rPr>
        <w:t>, and since these usually were people who belonged to the least pied social groups, it could limit</w:t>
      </w:r>
      <w:r w:rsidR="00205BDB" w:rsidRPr="00AB56A1">
        <w:rPr>
          <w:rFonts w:ascii="Times New Roman" w:hAnsi="Times New Roman"/>
          <w:sz w:val="24"/>
          <w:szCs w:val="24"/>
        </w:rPr>
        <w:t xml:space="preserve"> </w:t>
      </w:r>
      <w:r w:rsidRPr="00AB56A1">
        <w:rPr>
          <w:rFonts w:ascii="Times New Roman" w:hAnsi="Times New Roman"/>
          <w:sz w:val="24"/>
          <w:szCs w:val="24"/>
        </w:rPr>
        <w:t>further increases in inequality levels. On the other hand</w:t>
      </w:r>
      <w:r w:rsidR="00B35044">
        <w:rPr>
          <w:rFonts w:ascii="Times New Roman" w:hAnsi="Times New Roman"/>
          <w:sz w:val="24"/>
          <w:szCs w:val="24"/>
        </w:rPr>
        <w:t>,</w:t>
      </w:r>
      <w:r w:rsidRPr="00AB56A1">
        <w:rPr>
          <w:rFonts w:ascii="Times New Roman" w:hAnsi="Times New Roman"/>
          <w:sz w:val="24"/>
          <w:szCs w:val="24"/>
        </w:rPr>
        <w:t xml:space="preserve"> however, we can point to social groups with relatively low income and a low bargaining power on the labour market (teachers, low-level administration employees), whose profession nature rather hinders an economic emigration, which in the light </w:t>
      </w:r>
      <w:r w:rsidRPr="00AB56A1">
        <w:rPr>
          <w:rFonts w:ascii="Times New Roman" w:hAnsi="Times New Roman"/>
          <w:sz w:val="24"/>
          <w:szCs w:val="24"/>
        </w:rPr>
        <w:lastRenderedPageBreak/>
        <w:t>of a dynamic increase in income of other professional groups, inhibits the decrease in income differentiation.</w:t>
      </w:r>
    </w:p>
    <w:p w14:paraId="1E594FF6" w14:textId="77777777" w:rsidR="00C75AA3" w:rsidRPr="00AB56A1" w:rsidRDefault="00C75AA3" w:rsidP="00AB05A6">
      <w:pPr>
        <w:spacing w:after="0" w:line="360" w:lineRule="auto"/>
        <w:ind w:firstLine="708"/>
        <w:jc w:val="both"/>
        <w:rPr>
          <w:rFonts w:ascii="Times New Roman" w:eastAsia="Times New Roman" w:hAnsi="Times New Roman" w:cs="Times New Roman"/>
          <w:sz w:val="24"/>
          <w:szCs w:val="24"/>
        </w:rPr>
      </w:pPr>
    </w:p>
    <w:p w14:paraId="635D4F88" w14:textId="77777777" w:rsidR="00916C90" w:rsidRPr="00F57446" w:rsidRDefault="00C75AA3" w:rsidP="00AB05A6">
      <w:pPr>
        <w:spacing w:after="0" w:line="360" w:lineRule="auto"/>
        <w:jc w:val="both"/>
        <w:rPr>
          <w:rFonts w:ascii="Times New Roman" w:eastAsia="Times New Roman" w:hAnsi="Times New Roman" w:cs="Times New Roman"/>
          <w:b/>
          <w:sz w:val="24"/>
          <w:szCs w:val="24"/>
        </w:rPr>
      </w:pPr>
      <w:r w:rsidRPr="00F57446">
        <w:rPr>
          <w:rFonts w:ascii="Times New Roman" w:hAnsi="Times New Roman"/>
          <w:b/>
          <w:sz w:val="24"/>
          <w:szCs w:val="24"/>
        </w:rPr>
        <w:t>Table 14. Migration within the EU. Outflow of the people from NMS</w:t>
      </w:r>
      <w:r w:rsidR="00B35044" w:rsidRPr="00F57446">
        <w:rPr>
          <w:rFonts w:ascii="Times New Roman" w:hAnsi="Times New Roman"/>
          <w:b/>
          <w:sz w:val="24"/>
          <w:szCs w:val="24"/>
        </w:rPr>
        <w:t>.</w:t>
      </w:r>
    </w:p>
    <w:p w14:paraId="0DC0F2F8" w14:textId="77777777" w:rsidR="00B94A57" w:rsidRPr="00AB56A1" w:rsidRDefault="00B94A57" w:rsidP="00AB05A6">
      <w:pPr>
        <w:spacing w:after="0" w:line="360" w:lineRule="auto"/>
        <w:jc w:val="both"/>
        <w:rPr>
          <w:rFonts w:ascii="Times New Roman" w:eastAsia="Times New Roman" w:hAnsi="Times New Roman" w:cs="Times New Roman"/>
          <w:sz w:val="24"/>
          <w:szCs w:val="24"/>
        </w:rPr>
      </w:pPr>
      <w:r w:rsidRPr="00AB56A1">
        <w:rPr>
          <w:noProof/>
          <w:lang w:val="pl-PL" w:eastAsia="pl-PL"/>
        </w:rPr>
        <w:drawing>
          <wp:inline distT="0" distB="0" distL="0" distR="0" wp14:anchorId="6901AEC6" wp14:editId="009AC969">
            <wp:extent cx="5760720" cy="1386575"/>
            <wp:effectExtent l="0" t="0" r="0" b="444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1386575"/>
                    </a:xfrm>
                    <a:prstGeom prst="rect">
                      <a:avLst/>
                    </a:prstGeom>
                    <a:noFill/>
                    <a:ln>
                      <a:noFill/>
                    </a:ln>
                  </pic:spPr>
                </pic:pic>
              </a:graphicData>
            </a:graphic>
          </wp:inline>
        </w:drawing>
      </w:r>
    </w:p>
    <w:p w14:paraId="3E35D069" w14:textId="3E140047" w:rsidR="00916C90" w:rsidRPr="00AB56A1" w:rsidRDefault="00B94A57"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 xml:space="preserve">Source: </w:t>
      </w:r>
      <w:r w:rsidR="000445BA">
        <w:rPr>
          <w:rFonts w:ascii="Times New Roman" w:hAnsi="Times New Roman"/>
          <w:sz w:val="24"/>
          <w:szCs w:val="24"/>
        </w:rPr>
        <w:t>Author’s</w:t>
      </w:r>
      <w:r w:rsidRPr="00AB56A1">
        <w:rPr>
          <w:rFonts w:ascii="Times New Roman" w:hAnsi="Times New Roman"/>
          <w:sz w:val="24"/>
          <w:szCs w:val="24"/>
        </w:rPr>
        <w:t xml:space="preserve"> calculations based on Eurostat data</w:t>
      </w:r>
    </w:p>
    <w:p w14:paraId="31892E74" w14:textId="77777777" w:rsidR="00B94A57" w:rsidRPr="00AB56A1" w:rsidRDefault="00B94A57" w:rsidP="00AB05A6">
      <w:pPr>
        <w:spacing w:after="0" w:line="360" w:lineRule="auto"/>
        <w:jc w:val="both"/>
        <w:rPr>
          <w:rFonts w:ascii="Times New Roman" w:eastAsia="Times New Roman" w:hAnsi="Times New Roman" w:cs="Times New Roman"/>
          <w:sz w:val="24"/>
          <w:szCs w:val="24"/>
        </w:rPr>
      </w:pPr>
    </w:p>
    <w:p w14:paraId="76C7D79A" w14:textId="06324782" w:rsidR="00B94A57" w:rsidRPr="00AB56A1" w:rsidRDefault="00B94A57"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 xml:space="preserve">It should be noted that Central and Eastern European countries are not a uniform group. A tendency to emigration is a consequence of many factors, from which the income level clearly is not the most important one. If the differences between the salary in the home country and in the target country had been decisive for </w:t>
      </w:r>
      <w:r w:rsidR="00B35044">
        <w:rPr>
          <w:rFonts w:ascii="Times New Roman" w:hAnsi="Times New Roman"/>
          <w:sz w:val="24"/>
          <w:szCs w:val="24"/>
        </w:rPr>
        <w:t xml:space="preserve">a </w:t>
      </w:r>
      <w:r w:rsidRPr="00AB56A1">
        <w:rPr>
          <w:rFonts w:ascii="Times New Roman" w:hAnsi="Times New Roman"/>
          <w:sz w:val="24"/>
          <w:szCs w:val="24"/>
        </w:rPr>
        <w:t>decision on leaving the country, the highest level of outflow of employees would have been noted in Bulgaria which is at the end of the EU list in</w:t>
      </w:r>
      <w:r w:rsidR="00205BDB" w:rsidRPr="00AB56A1">
        <w:rPr>
          <w:rFonts w:ascii="Times New Roman" w:hAnsi="Times New Roman"/>
          <w:sz w:val="24"/>
          <w:szCs w:val="24"/>
        </w:rPr>
        <w:t xml:space="preserve"> </w:t>
      </w:r>
      <w:r w:rsidRPr="00AB56A1">
        <w:rPr>
          <w:rFonts w:ascii="Times New Roman" w:hAnsi="Times New Roman"/>
          <w:sz w:val="24"/>
          <w:szCs w:val="24"/>
        </w:rPr>
        <w:t>terms of GDP pc and</w:t>
      </w:r>
      <w:r w:rsidR="00B35044">
        <w:rPr>
          <w:rFonts w:ascii="Times New Roman" w:hAnsi="Times New Roman"/>
          <w:sz w:val="24"/>
          <w:szCs w:val="24"/>
        </w:rPr>
        <w:t>,</w:t>
      </w:r>
      <w:r w:rsidRPr="00AB56A1">
        <w:rPr>
          <w:rFonts w:ascii="Times New Roman" w:hAnsi="Times New Roman"/>
          <w:sz w:val="24"/>
          <w:szCs w:val="24"/>
        </w:rPr>
        <w:t xml:space="preserve"> therefore</w:t>
      </w:r>
      <w:r w:rsidR="00B35044">
        <w:rPr>
          <w:rFonts w:ascii="Times New Roman" w:hAnsi="Times New Roman"/>
          <w:sz w:val="24"/>
          <w:szCs w:val="24"/>
        </w:rPr>
        <w:t>,</w:t>
      </w:r>
      <w:r w:rsidRPr="00AB56A1">
        <w:rPr>
          <w:rFonts w:ascii="Times New Roman" w:hAnsi="Times New Roman"/>
          <w:sz w:val="24"/>
          <w:szCs w:val="24"/>
        </w:rPr>
        <w:t xml:space="preserve"> the salary levels. It is clearly visible, however, that very flexible labour markets have been formed in Baltic countries (Latvia and Lithuania). A deep recession being a consequence of the financial crisis and a strict fiscal policy aiming to maintain budgetary indicators below the Maastricht Criteria has worsen</w:t>
      </w:r>
      <w:r w:rsidR="00B35044">
        <w:rPr>
          <w:rFonts w:ascii="Times New Roman" w:hAnsi="Times New Roman"/>
          <w:sz w:val="24"/>
          <w:szCs w:val="24"/>
        </w:rPr>
        <w:t>ed the</w:t>
      </w:r>
      <w:r w:rsidRPr="00AB56A1">
        <w:rPr>
          <w:rFonts w:ascii="Times New Roman" w:hAnsi="Times New Roman"/>
          <w:sz w:val="24"/>
          <w:szCs w:val="24"/>
        </w:rPr>
        <w:t xml:space="preserve"> condition of the labour market so much that emigration was the only solution – an increase in departures from Latvia and Lithuania between 2009 and 2011 is clearly visible. Thanks to a huge international mobility, Latvia and Lithuania avoided a high increase in the unemployment rate, but at the expense of worsening the potential of the economy to grow in the long-term perspective. </w:t>
      </w:r>
    </w:p>
    <w:p w14:paraId="6BA72960"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An outflow of employees translates into income differentiation indicators in several ways.</w:t>
      </w:r>
    </w:p>
    <w:p w14:paraId="06EB4097"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First of all, a general decrease in labour supply increases the bargaining power of employees, which increases the general salaries level.</w:t>
      </w:r>
    </w:p>
    <w:p w14:paraId="0A1985F3" w14:textId="23B97D3B" w:rsidR="00916C90" w:rsidRDefault="00916C90" w:rsidP="00AB05A6">
      <w:pPr>
        <w:spacing w:after="0" w:line="360" w:lineRule="auto"/>
        <w:jc w:val="both"/>
        <w:rPr>
          <w:rFonts w:ascii="Times New Roman" w:hAnsi="Times New Roman"/>
          <w:sz w:val="24"/>
          <w:szCs w:val="24"/>
        </w:rPr>
      </w:pPr>
      <w:r w:rsidRPr="00AB56A1">
        <w:rPr>
          <w:rFonts w:ascii="Times New Roman" w:hAnsi="Times New Roman"/>
          <w:sz w:val="24"/>
          <w:szCs w:val="24"/>
        </w:rPr>
        <w:tab/>
        <w:t>Secondly, the branch structure of emigrants is also important – it is clearly visible that there is a connection between the structure of employment of emigrants abroad and the income dynamics in Poland in specific branches. Polish companies that represent branches that are the most popular among emigrants must compete for employees with foreign employers. Increases in salaries in these branches are higher tha</w:t>
      </w:r>
      <w:r w:rsidR="00F254D9" w:rsidRPr="00AB56A1">
        <w:rPr>
          <w:rFonts w:ascii="Times New Roman" w:hAnsi="Times New Roman"/>
          <w:sz w:val="24"/>
          <w:szCs w:val="24"/>
        </w:rPr>
        <w:t>n</w:t>
      </w:r>
      <w:r w:rsidRPr="00AB56A1">
        <w:rPr>
          <w:rFonts w:ascii="Times New Roman" w:hAnsi="Times New Roman"/>
          <w:sz w:val="24"/>
          <w:szCs w:val="24"/>
        </w:rPr>
        <w:t xml:space="preserve"> the general income dynamics for the entire </w:t>
      </w:r>
      <w:r w:rsidRPr="00AB56A1">
        <w:rPr>
          <w:rFonts w:ascii="Times New Roman" w:hAnsi="Times New Roman"/>
          <w:sz w:val="24"/>
          <w:szCs w:val="24"/>
        </w:rPr>
        <w:lastRenderedPageBreak/>
        <w:t xml:space="preserve">economy. Therefore, the income inequalities decrease – incomes in sectors where earnings are lower </w:t>
      </w:r>
      <w:r w:rsidR="00B8523A" w:rsidRPr="00AB56A1">
        <w:rPr>
          <w:rFonts w:ascii="Times New Roman" w:hAnsi="Times New Roman"/>
          <w:sz w:val="24"/>
          <w:szCs w:val="24"/>
        </w:rPr>
        <w:t>th</w:t>
      </w:r>
      <w:r w:rsidR="00B8523A">
        <w:rPr>
          <w:rFonts w:ascii="Times New Roman" w:hAnsi="Times New Roman"/>
          <w:sz w:val="24"/>
          <w:szCs w:val="24"/>
        </w:rPr>
        <w:t>an</w:t>
      </w:r>
      <w:r w:rsidR="00B8523A" w:rsidRPr="00AB56A1">
        <w:rPr>
          <w:rFonts w:ascii="Times New Roman" w:hAnsi="Times New Roman"/>
          <w:sz w:val="24"/>
          <w:szCs w:val="24"/>
        </w:rPr>
        <w:t xml:space="preserve"> </w:t>
      </w:r>
      <w:r w:rsidRPr="00AB56A1">
        <w:rPr>
          <w:rFonts w:ascii="Times New Roman" w:hAnsi="Times New Roman"/>
          <w:sz w:val="24"/>
          <w:szCs w:val="24"/>
        </w:rPr>
        <w:t>the national average salary increase faster (see the date in the table below).</w:t>
      </w:r>
    </w:p>
    <w:p w14:paraId="204EA7D2" w14:textId="77777777" w:rsidR="00F57446" w:rsidRPr="00AB56A1" w:rsidRDefault="00F57446" w:rsidP="00AB05A6">
      <w:pPr>
        <w:spacing w:after="0" w:line="360" w:lineRule="auto"/>
        <w:jc w:val="both"/>
        <w:rPr>
          <w:rFonts w:ascii="Times New Roman" w:eastAsia="Times New Roman" w:hAnsi="Times New Roman" w:cs="Times New Roman"/>
          <w:sz w:val="24"/>
          <w:szCs w:val="24"/>
        </w:rPr>
      </w:pPr>
    </w:p>
    <w:p w14:paraId="10346B62" w14:textId="7F65227A" w:rsidR="00916C90" w:rsidRDefault="00916C90" w:rsidP="00AB05A6">
      <w:pPr>
        <w:spacing w:after="0" w:line="360" w:lineRule="auto"/>
        <w:jc w:val="both"/>
        <w:rPr>
          <w:rFonts w:ascii="Times New Roman" w:hAnsi="Times New Roman"/>
          <w:b/>
          <w:sz w:val="24"/>
          <w:szCs w:val="24"/>
        </w:rPr>
      </w:pPr>
      <w:r w:rsidRPr="00AB56A1">
        <w:rPr>
          <w:rFonts w:ascii="Times New Roman" w:hAnsi="Times New Roman"/>
          <w:sz w:val="24"/>
          <w:szCs w:val="24"/>
        </w:rPr>
        <w:tab/>
      </w:r>
      <w:r w:rsidRPr="00AB56A1">
        <w:rPr>
          <w:rFonts w:ascii="Times New Roman" w:hAnsi="Times New Roman"/>
          <w:b/>
          <w:sz w:val="24"/>
          <w:szCs w:val="24"/>
        </w:rPr>
        <w:t>Table 15. Income dynamics in Poland and employment structure emigrants from Poland in specific branches</w:t>
      </w:r>
      <w:r w:rsidR="00205BDB" w:rsidRPr="00AB56A1">
        <w:rPr>
          <w:rFonts w:ascii="Times New Roman" w:hAnsi="Times New Roman"/>
          <w:b/>
          <w:sz w:val="24"/>
          <w:szCs w:val="24"/>
        </w:rPr>
        <w:t xml:space="preserve"> </w:t>
      </w:r>
    </w:p>
    <w:p w14:paraId="65E8909D" w14:textId="77777777" w:rsidR="00F57446" w:rsidRDefault="00F57446" w:rsidP="00AB05A6">
      <w:pPr>
        <w:spacing w:after="0" w:line="36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636"/>
        <w:gridCol w:w="2460"/>
      </w:tblGrid>
      <w:tr w:rsidR="00F57446" w:rsidRPr="00F57446" w14:paraId="29F14357" w14:textId="77777777" w:rsidTr="000D2136">
        <w:trPr>
          <w:trHeight w:val="290"/>
        </w:trPr>
        <w:tc>
          <w:tcPr>
            <w:tcW w:w="3480" w:type="dxa"/>
            <w:gridSpan w:val="2"/>
            <w:shd w:val="clear" w:color="auto" w:fill="auto"/>
            <w:noWrap/>
            <w:hideMark/>
          </w:tcPr>
          <w:p w14:paraId="3C4FE575" w14:textId="384F2C14" w:rsidR="00F57446" w:rsidRPr="00F57446" w:rsidRDefault="00F57446" w:rsidP="00F57446">
            <w:pPr>
              <w:spacing w:after="0" w:line="360" w:lineRule="auto"/>
              <w:jc w:val="both"/>
              <w:rPr>
                <w:rFonts w:ascii="Times New Roman" w:hAnsi="Times New Roman"/>
                <w:sz w:val="24"/>
                <w:szCs w:val="24"/>
                <w:lang w:val="pl-PL"/>
              </w:rPr>
            </w:pPr>
            <w:proofErr w:type="spellStart"/>
            <w:r>
              <w:rPr>
                <w:rFonts w:ascii="Times New Roman" w:hAnsi="Times New Roman"/>
                <w:sz w:val="24"/>
                <w:szCs w:val="24"/>
                <w:lang w:val="pl-PL"/>
              </w:rPr>
              <w:t>Income</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growth</w:t>
            </w:r>
            <w:proofErr w:type="spellEnd"/>
            <w:r>
              <w:rPr>
                <w:rFonts w:ascii="Times New Roman" w:hAnsi="Times New Roman"/>
                <w:sz w:val="24"/>
                <w:szCs w:val="24"/>
                <w:lang w:val="pl-PL"/>
              </w:rPr>
              <w:t xml:space="preserve"> in</w:t>
            </w:r>
            <w:r w:rsidRPr="00F57446">
              <w:rPr>
                <w:rFonts w:ascii="Times New Roman" w:hAnsi="Times New Roman"/>
                <w:sz w:val="24"/>
                <w:szCs w:val="24"/>
                <w:lang w:val="pl-PL"/>
              </w:rPr>
              <w:t xml:space="preserve"> 2004-15 </w:t>
            </w:r>
            <w:r>
              <w:rPr>
                <w:rFonts w:ascii="Times New Roman" w:hAnsi="Times New Roman"/>
                <w:sz w:val="24"/>
                <w:szCs w:val="24"/>
                <w:lang w:val="pl-PL"/>
              </w:rPr>
              <w:t>in</w:t>
            </w:r>
            <w:r w:rsidRPr="00F57446">
              <w:rPr>
                <w:rFonts w:ascii="Times New Roman" w:hAnsi="Times New Roman"/>
                <w:sz w:val="24"/>
                <w:szCs w:val="24"/>
                <w:lang w:val="pl-PL"/>
              </w:rPr>
              <w:t xml:space="preserve"> %</w:t>
            </w:r>
          </w:p>
        </w:tc>
        <w:tc>
          <w:tcPr>
            <w:tcW w:w="2460" w:type="dxa"/>
            <w:shd w:val="clear" w:color="auto" w:fill="auto"/>
            <w:noWrap/>
            <w:hideMark/>
          </w:tcPr>
          <w:p w14:paraId="6022966A" w14:textId="7C54CC50" w:rsidR="00F57446" w:rsidRPr="00F57446" w:rsidRDefault="00F57446" w:rsidP="00F57446">
            <w:pPr>
              <w:spacing w:after="0" w:line="360" w:lineRule="auto"/>
              <w:jc w:val="both"/>
              <w:rPr>
                <w:rFonts w:ascii="Times New Roman" w:hAnsi="Times New Roman"/>
                <w:sz w:val="24"/>
                <w:szCs w:val="24"/>
                <w:lang w:val="pl-PL"/>
              </w:rPr>
            </w:pPr>
            <w:proofErr w:type="spellStart"/>
            <w:r>
              <w:rPr>
                <w:rFonts w:ascii="Times New Roman" w:hAnsi="Times New Roman"/>
                <w:sz w:val="24"/>
                <w:szCs w:val="24"/>
                <w:lang w:val="pl-PL"/>
              </w:rPr>
              <w:t>Employment</w:t>
            </w:r>
            <w:proofErr w:type="spellEnd"/>
            <w:r>
              <w:rPr>
                <w:rFonts w:ascii="Times New Roman" w:hAnsi="Times New Roman"/>
                <w:sz w:val="24"/>
                <w:szCs w:val="24"/>
                <w:lang w:val="pl-PL"/>
              </w:rPr>
              <w:t xml:space="preserve"> </w:t>
            </w:r>
            <w:proofErr w:type="spellStart"/>
            <w:r>
              <w:rPr>
                <w:rFonts w:ascii="Times New Roman" w:hAnsi="Times New Roman"/>
                <w:sz w:val="24"/>
                <w:szCs w:val="24"/>
                <w:lang w:val="pl-PL"/>
              </w:rPr>
              <w:t>structure</w:t>
            </w:r>
            <w:proofErr w:type="spellEnd"/>
            <w:r>
              <w:rPr>
                <w:rFonts w:ascii="Times New Roman" w:hAnsi="Times New Roman"/>
                <w:sz w:val="24"/>
                <w:szCs w:val="24"/>
                <w:lang w:val="pl-PL"/>
              </w:rPr>
              <w:t xml:space="preserve"> of </w:t>
            </w:r>
            <w:proofErr w:type="spellStart"/>
            <w:r>
              <w:rPr>
                <w:rFonts w:ascii="Times New Roman" w:hAnsi="Times New Roman"/>
                <w:sz w:val="24"/>
                <w:szCs w:val="24"/>
                <w:lang w:val="pl-PL"/>
              </w:rPr>
              <w:t>emigrants</w:t>
            </w:r>
            <w:proofErr w:type="spellEnd"/>
            <w:r>
              <w:rPr>
                <w:rFonts w:ascii="Times New Roman" w:hAnsi="Times New Roman"/>
                <w:sz w:val="24"/>
                <w:szCs w:val="24"/>
                <w:lang w:val="pl-PL"/>
              </w:rPr>
              <w:t xml:space="preserve"> in target </w:t>
            </w:r>
            <w:proofErr w:type="spellStart"/>
            <w:r>
              <w:rPr>
                <w:rFonts w:ascii="Times New Roman" w:hAnsi="Times New Roman"/>
                <w:sz w:val="24"/>
                <w:szCs w:val="24"/>
                <w:lang w:val="pl-PL"/>
              </w:rPr>
              <w:t>countries</w:t>
            </w:r>
            <w:proofErr w:type="spellEnd"/>
            <w:r>
              <w:rPr>
                <w:rFonts w:ascii="Times New Roman" w:hAnsi="Times New Roman"/>
                <w:sz w:val="24"/>
                <w:szCs w:val="24"/>
                <w:lang w:val="pl-PL"/>
              </w:rPr>
              <w:t xml:space="preserve"> (in</w:t>
            </w:r>
            <w:r w:rsidRPr="00F57446">
              <w:rPr>
                <w:rFonts w:ascii="Times New Roman" w:hAnsi="Times New Roman"/>
                <w:sz w:val="24"/>
                <w:szCs w:val="24"/>
                <w:lang w:val="pl-PL"/>
              </w:rPr>
              <w:t xml:space="preserve"> %)</w:t>
            </w:r>
          </w:p>
        </w:tc>
      </w:tr>
      <w:tr w:rsidR="00F57446" w:rsidRPr="00F57446" w14:paraId="57C3B4A3" w14:textId="77777777" w:rsidTr="000D2136">
        <w:trPr>
          <w:trHeight w:val="290"/>
        </w:trPr>
        <w:tc>
          <w:tcPr>
            <w:tcW w:w="3000" w:type="dxa"/>
            <w:shd w:val="clear" w:color="auto" w:fill="auto"/>
            <w:noWrap/>
            <w:hideMark/>
          </w:tcPr>
          <w:p w14:paraId="27B12A7D" w14:textId="3EB7474F" w:rsidR="00F57446" w:rsidRPr="00F57446" w:rsidRDefault="00F57446" w:rsidP="00F57446">
            <w:pPr>
              <w:spacing w:after="0" w:line="360" w:lineRule="auto"/>
              <w:jc w:val="both"/>
              <w:rPr>
                <w:rFonts w:ascii="Times New Roman" w:hAnsi="Times New Roman"/>
                <w:sz w:val="24"/>
                <w:szCs w:val="24"/>
                <w:lang w:val="pl-PL"/>
              </w:rPr>
            </w:pPr>
            <w:r>
              <w:rPr>
                <w:rFonts w:ascii="Times New Roman" w:hAnsi="Times New Roman"/>
                <w:sz w:val="24"/>
                <w:szCs w:val="24"/>
                <w:lang w:val="pl-PL"/>
              </w:rPr>
              <w:t>Total</w:t>
            </w:r>
          </w:p>
        </w:tc>
        <w:tc>
          <w:tcPr>
            <w:tcW w:w="480" w:type="dxa"/>
            <w:shd w:val="clear" w:color="auto" w:fill="auto"/>
            <w:noWrap/>
            <w:hideMark/>
          </w:tcPr>
          <w:p w14:paraId="52B7B4A2" w14:textId="77777777" w:rsidR="00F57446" w:rsidRPr="00F57446" w:rsidRDefault="00F57446" w:rsidP="00F57446">
            <w:pPr>
              <w:spacing w:after="0" w:line="360" w:lineRule="auto"/>
              <w:jc w:val="both"/>
              <w:rPr>
                <w:rFonts w:ascii="Times New Roman" w:hAnsi="Times New Roman"/>
                <w:sz w:val="24"/>
                <w:szCs w:val="24"/>
                <w:lang w:val="pl-PL"/>
              </w:rPr>
            </w:pPr>
            <w:r w:rsidRPr="00F57446">
              <w:rPr>
                <w:rFonts w:ascii="Times New Roman" w:hAnsi="Times New Roman"/>
                <w:sz w:val="24"/>
                <w:szCs w:val="24"/>
                <w:lang w:val="pl-PL"/>
              </w:rPr>
              <w:t>65,2</w:t>
            </w:r>
          </w:p>
        </w:tc>
        <w:tc>
          <w:tcPr>
            <w:tcW w:w="2460" w:type="dxa"/>
            <w:shd w:val="clear" w:color="auto" w:fill="auto"/>
            <w:noWrap/>
            <w:hideMark/>
          </w:tcPr>
          <w:p w14:paraId="6C997FAB" w14:textId="77777777" w:rsidR="00F57446" w:rsidRPr="00F57446" w:rsidRDefault="00F57446" w:rsidP="00F57446">
            <w:pPr>
              <w:spacing w:after="0" w:line="360" w:lineRule="auto"/>
              <w:jc w:val="both"/>
              <w:rPr>
                <w:rFonts w:ascii="Times New Roman" w:hAnsi="Times New Roman"/>
                <w:sz w:val="24"/>
                <w:szCs w:val="24"/>
                <w:lang w:val="pl-PL"/>
              </w:rPr>
            </w:pPr>
          </w:p>
        </w:tc>
      </w:tr>
      <w:tr w:rsidR="00F57446" w:rsidRPr="00F57446" w14:paraId="56C49657" w14:textId="77777777" w:rsidTr="000D2136">
        <w:trPr>
          <w:trHeight w:val="290"/>
        </w:trPr>
        <w:tc>
          <w:tcPr>
            <w:tcW w:w="3000" w:type="dxa"/>
            <w:shd w:val="clear" w:color="auto" w:fill="auto"/>
            <w:noWrap/>
            <w:hideMark/>
          </w:tcPr>
          <w:p w14:paraId="09F5B240" w14:textId="32B95901" w:rsidR="00F57446" w:rsidRPr="00F57446" w:rsidRDefault="00F57446" w:rsidP="00F57446">
            <w:pPr>
              <w:spacing w:after="0" w:line="360" w:lineRule="auto"/>
              <w:jc w:val="both"/>
              <w:rPr>
                <w:rFonts w:ascii="Times New Roman" w:hAnsi="Times New Roman"/>
                <w:sz w:val="24"/>
                <w:szCs w:val="24"/>
                <w:lang w:val="pl-PL"/>
              </w:rPr>
            </w:pPr>
            <w:proofErr w:type="spellStart"/>
            <w:r>
              <w:rPr>
                <w:rFonts w:ascii="Times New Roman" w:hAnsi="Times New Roman"/>
                <w:sz w:val="24"/>
                <w:szCs w:val="24"/>
                <w:lang w:val="pl-PL"/>
              </w:rPr>
              <w:t>Industry</w:t>
            </w:r>
            <w:proofErr w:type="spellEnd"/>
          </w:p>
        </w:tc>
        <w:tc>
          <w:tcPr>
            <w:tcW w:w="480" w:type="dxa"/>
            <w:shd w:val="clear" w:color="auto" w:fill="auto"/>
            <w:noWrap/>
            <w:hideMark/>
          </w:tcPr>
          <w:p w14:paraId="31C3FD58" w14:textId="77777777" w:rsidR="00F57446" w:rsidRPr="00F57446" w:rsidRDefault="00F57446" w:rsidP="00F57446">
            <w:pPr>
              <w:spacing w:after="0" w:line="360" w:lineRule="auto"/>
              <w:jc w:val="both"/>
              <w:rPr>
                <w:rFonts w:ascii="Times New Roman" w:hAnsi="Times New Roman"/>
                <w:sz w:val="24"/>
                <w:szCs w:val="24"/>
                <w:lang w:val="pl-PL"/>
              </w:rPr>
            </w:pPr>
            <w:r w:rsidRPr="00F57446">
              <w:rPr>
                <w:rFonts w:ascii="Times New Roman" w:hAnsi="Times New Roman"/>
                <w:sz w:val="24"/>
                <w:szCs w:val="24"/>
                <w:lang w:val="pl-PL"/>
              </w:rPr>
              <w:t>65,8</w:t>
            </w:r>
          </w:p>
        </w:tc>
        <w:tc>
          <w:tcPr>
            <w:tcW w:w="2460" w:type="dxa"/>
            <w:shd w:val="clear" w:color="auto" w:fill="auto"/>
            <w:noWrap/>
            <w:hideMark/>
          </w:tcPr>
          <w:p w14:paraId="46DAE65F" w14:textId="77777777" w:rsidR="00F57446" w:rsidRPr="00F57446" w:rsidRDefault="00F57446" w:rsidP="00F57446">
            <w:pPr>
              <w:spacing w:after="0" w:line="360" w:lineRule="auto"/>
              <w:jc w:val="both"/>
              <w:rPr>
                <w:rFonts w:ascii="Times New Roman" w:hAnsi="Times New Roman"/>
                <w:sz w:val="24"/>
                <w:szCs w:val="24"/>
                <w:lang w:val="pl-PL"/>
              </w:rPr>
            </w:pPr>
            <w:r w:rsidRPr="00F57446">
              <w:rPr>
                <w:rFonts w:ascii="Times New Roman" w:hAnsi="Times New Roman"/>
                <w:sz w:val="24"/>
                <w:szCs w:val="24"/>
                <w:lang w:val="pl-PL"/>
              </w:rPr>
              <w:t>21</w:t>
            </w:r>
          </w:p>
        </w:tc>
      </w:tr>
      <w:tr w:rsidR="00F57446" w:rsidRPr="00F57446" w14:paraId="65C1603F" w14:textId="77777777" w:rsidTr="000D2136">
        <w:trPr>
          <w:trHeight w:val="290"/>
        </w:trPr>
        <w:tc>
          <w:tcPr>
            <w:tcW w:w="3000" w:type="dxa"/>
            <w:shd w:val="clear" w:color="auto" w:fill="auto"/>
            <w:noWrap/>
            <w:hideMark/>
          </w:tcPr>
          <w:p w14:paraId="4EC85A8D" w14:textId="09E16C42" w:rsidR="00F57446" w:rsidRPr="00F57446" w:rsidRDefault="00F57446" w:rsidP="00F57446">
            <w:pPr>
              <w:spacing w:after="0" w:line="360" w:lineRule="auto"/>
              <w:jc w:val="both"/>
              <w:rPr>
                <w:rFonts w:ascii="Times New Roman" w:hAnsi="Times New Roman"/>
                <w:sz w:val="24"/>
                <w:szCs w:val="24"/>
                <w:lang w:val="pl-PL"/>
              </w:rPr>
            </w:pPr>
            <w:r>
              <w:rPr>
                <w:rFonts w:ascii="Times New Roman" w:hAnsi="Times New Roman"/>
                <w:sz w:val="24"/>
                <w:szCs w:val="24"/>
                <w:lang w:val="pl-PL"/>
              </w:rPr>
              <w:t>Construction</w:t>
            </w:r>
          </w:p>
        </w:tc>
        <w:tc>
          <w:tcPr>
            <w:tcW w:w="480" w:type="dxa"/>
            <w:shd w:val="clear" w:color="auto" w:fill="auto"/>
            <w:noWrap/>
            <w:hideMark/>
          </w:tcPr>
          <w:p w14:paraId="7746AFFB" w14:textId="77777777" w:rsidR="00F57446" w:rsidRPr="00F57446" w:rsidRDefault="00F57446" w:rsidP="00F57446">
            <w:pPr>
              <w:spacing w:after="0" w:line="360" w:lineRule="auto"/>
              <w:jc w:val="both"/>
              <w:rPr>
                <w:rFonts w:ascii="Times New Roman" w:hAnsi="Times New Roman"/>
                <w:sz w:val="24"/>
                <w:szCs w:val="24"/>
                <w:lang w:val="pl-PL"/>
              </w:rPr>
            </w:pPr>
            <w:r w:rsidRPr="00F57446">
              <w:rPr>
                <w:rFonts w:ascii="Times New Roman" w:hAnsi="Times New Roman"/>
                <w:sz w:val="24"/>
                <w:szCs w:val="24"/>
                <w:lang w:val="pl-PL"/>
              </w:rPr>
              <w:t>77,6</w:t>
            </w:r>
          </w:p>
        </w:tc>
        <w:tc>
          <w:tcPr>
            <w:tcW w:w="2460" w:type="dxa"/>
            <w:shd w:val="clear" w:color="auto" w:fill="auto"/>
            <w:noWrap/>
            <w:hideMark/>
          </w:tcPr>
          <w:p w14:paraId="6DDA2B70" w14:textId="77777777" w:rsidR="00F57446" w:rsidRPr="00F57446" w:rsidRDefault="00F57446" w:rsidP="00F57446">
            <w:pPr>
              <w:spacing w:after="0" w:line="360" w:lineRule="auto"/>
              <w:jc w:val="both"/>
              <w:rPr>
                <w:rFonts w:ascii="Times New Roman" w:hAnsi="Times New Roman"/>
                <w:sz w:val="24"/>
                <w:szCs w:val="24"/>
                <w:lang w:val="pl-PL"/>
              </w:rPr>
            </w:pPr>
            <w:r w:rsidRPr="00F57446">
              <w:rPr>
                <w:rFonts w:ascii="Times New Roman" w:hAnsi="Times New Roman"/>
                <w:sz w:val="24"/>
                <w:szCs w:val="24"/>
                <w:lang w:val="pl-PL"/>
              </w:rPr>
              <w:t>10,25</w:t>
            </w:r>
          </w:p>
        </w:tc>
      </w:tr>
      <w:tr w:rsidR="00F57446" w:rsidRPr="00F57446" w14:paraId="31BD5C68" w14:textId="77777777" w:rsidTr="000D2136">
        <w:trPr>
          <w:trHeight w:val="290"/>
        </w:trPr>
        <w:tc>
          <w:tcPr>
            <w:tcW w:w="3000" w:type="dxa"/>
            <w:shd w:val="clear" w:color="auto" w:fill="auto"/>
            <w:noWrap/>
            <w:hideMark/>
          </w:tcPr>
          <w:p w14:paraId="469634C4" w14:textId="2B0B6968" w:rsidR="00F57446" w:rsidRPr="00F57446" w:rsidRDefault="00F57446" w:rsidP="00F57446">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pl-PL"/>
              </w:rPr>
              <w:t>Hotels</w:t>
            </w:r>
            <w:proofErr w:type="spellEnd"/>
            <w:r>
              <w:rPr>
                <w:rFonts w:ascii="Times New Roman" w:hAnsi="Times New Roman"/>
                <w:sz w:val="24"/>
                <w:szCs w:val="24"/>
                <w:lang w:val="pl-PL"/>
              </w:rPr>
              <w:t xml:space="preserve"> and </w:t>
            </w:r>
            <w:proofErr w:type="spellStart"/>
            <w:r>
              <w:rPr>
                <w:rFonts w:ascii="Times New Roman" w:hAnsi="Times New Roman"/>
                <w:sz w:val="24"/>
                <w:szCs w:val="24"/>
                <w:lang w:val="pl-PL"/>
              </w:rPr>
              <w:t>restaurants</w:t>
            </w:r>
            <w:proofErr w:type="spellEnd"/>
          </w:p>
        </w:tc>
        <w:tc>
          <w:tcPr>
            <w:tcW w:w="480" w:type="dxa"/>
            <w:shd w:val="clear" w:color="auto" w:fill="auto"/>
            <w:noWrap/>
            <w:hideMark/>
          </w:tcPr>
          <w:p w14:paraId="0B7321EB" w14:textId="77777777" w:rsidR="00F57446" w:rsidRPr="00F57446" w:rsidRDefault="00F57446" w:rsidP="00F57446">
            <w:pPr>
              <w:spacing w:after="0" w:line="360" w:lineRule="auto"/>
              <w:jc w:val="both"/>
              <w:rPr>
                <w:rFonts w:ascii="Times New Roman" w:hAnsi="Times New Roman"/>
                <w:sz w:val="24"/>
                <w:szCs w:val="24"/>
                <w:lang w:val="en-US"/>
              </w:rPr>
            </w:pPr>
            <w:r w:rsidRPr="00F57446">
              <w:rPr>
                <w:rFonts w:ascii="Times New Roman" w:hAnsi="Times New Roman"/>
                <w:sz w:val="24"/>
                <w:szCs w:val="24"/>
                <w:lang w:val="en-US"/>
              </w:rPr>
              <w:t>57,4</w:t>
            </w:r>
          </w:p>
        </w:tc>
        <w:tc>
          <w:tcPr>
            <w:tcW w:w="2460" w:type="dxa"/>
            <w:shd w:val="clear" w:color="auto" w:fill="auto"/>
            <w:noWrap/>
            <w:hideMark/>
          </w:tcPr>
          <w:p w14:paraId="5AE8D843" w14:textId="77777777" w:rsidR="00F57446" w:rsidRPr="00F57446" w:rsidRDefault="00F57446" w:rsidP="00F57446">
            <w:pPr>
              <w:spacing w:after="0" w:line="360" w:lineRule="auto"/>
              <w:jc w:val="both"/>
              <w:rPr>
                <w:rFonts w:ascii="Times New Roman" w:hAnsi="Times New Roman"/>
                <w:sz w:val="24"/>
                <w:szCs w:val="24"/>
                <w:lang w:val="en-US"/>
              </w:rPr>
            </w:pPr>
            <w:r w:rsidRPr="00F57446">
              <w:rPr>
                <w:rFonts w:ascii="Times New Roman" w:hAnsi="Times New Roman"/>
                <w:sz w:val="24"/>
                <w:szCs w:val="24"/>
                <w:lang w:val="en-US"/>
              </w:rPr>
              <w:t>13,75</w:t>
            </w:r>
          </w:p>
        </w:tc>
      </w:tr>
      <w:tr w:rsidR="00F57446" w:rsidRPr="00F57446" w14:paraId="6CA5985B" w14:textId="77777777" w:rsidTr="000D2136">
        <w:trPr>
          <w:trHeight w:val="290"/>
        </w:trPr>
        <w:tc>
          <w:tcPr>
            <w:tcW w:w="3000" w:type="dxa"/>
            <w:shd w:val="clear" w:color="auto" w:fill="auto"/>
            <w:noWrap/>
            <w:hideMark/>
          </w:tcPr>
          <w:p w14:paraId="488EC1FF" w14:textId="6BBC2308" w:rsidR="00F57446" w:rsidRPr="00F57446" w:rsidRDefault="00F57446" w:rsidP="00F57446">
            <w:pPr>
              <w:spacing w:after="0" w:line="360" w:lineRule="auto"/>
              <w:jc w:val="both"/>
              <w:rPr>
                <w:rFonts w:ascii="Times New Roman" w:hAnsi="Times New Roman"/>
                <w:sz w:val="24"/>
                <w:szCs w:val="24"/>
                <w:lang w:val="en-US"/>
              </w:rPr>
            </w:pPr>
            <w:proofErr w:type="spellStart"/>
            <w:r>
              <w:rPr>
                <w:rFonts w:ascii="Times New Roman" w:hAnsi="Times New Roman"/>
                <w:sz w:val="24"/>
                <w:szCs w:val="24"/>
                <w:lang w:val="en-US"/>
              </w:rPr>
              <w:t>Commenrce</w:t>
            </w:r>
            <w:proofErr w:type="spellEnd"/>
            <w:r>
              <w:rPr>
                <w:rFonts w:ascii="Times New Roman" w:hAnsi="Times New Roman"/>
                <w:sz w:val="24"/>
                <w:szCs w:val="24"/>
                <w:lang w:val="en-US"/>
              </w:rPr>
              <w:t xml:space="preserve"> and repairs</w:t>
            </w:r>
          </w:p>
        </w:tc>
        <w:tc>
          <w:tcPr>
            <w:tcW w:w="480" w:type="dxa"/>
            <w:shd w:val="clear" w:color="auto" w:fill="auto"/>
            <w:noWrap/>
            <w:hideMark/>
          </w:tcPr>
          <w:p w14:paraId="27B520AA" w14:textId="77777777" w:rsidR="00F57446" w:rsidRPr="00F57446" w:rsidRDefault="00F57446" w:rsidP="00F57446">
            <w:pPr>
              <w:spacing w:after="0" w:line="360" w:lineRule="auto"/>
              <w:jc w:val="both"/>
              <w:rPr>
                <w:rFonts w:ascii="Times New Roman" w:hAnsi="Times New Roman"/>
                <w:sz w:val="24"/>
                <w:szCs w:val="24"/>
                <w:lang w:val="en-US"/>
              </w:rPr>
            </w:pPr>
            <w:r w:rsidRPr="00F57446">
              <w:rPr>
                <w:rFonts w:ascii="Times New Roman" w:hAnsi="Times New Roman"/>
                <w:sz w:val="24"/>
                <w:szCs w:val="24"/>
                <w:lang w:val="en-US"/>
              </w:rPr>
              <w:t>59,5</w:t>
            </w:r>
          </w:p>
        </w:tc>
        <w:tc>
          <w:tcPr>
            <w:tcW w:w="2460" w:type="dxa"/>
            <w:shd w:val="clear" w:color="auto" w:fill="auto"/>
            <w:noWrap/>
            <w:hideMark/>
          </w:tcPr>
          <w:p w14:paraId="6AB2E91B" w14:textId="77777777" w:rsidR="00F57446" w:rsidRPr="00F57446" w:rsidRDefault="00F57446" w:rsidP="00F57446">
            <w:pPr>
              <w:spacing w:after="0" w:line="360" w:lineRule="auto"/>
              <w:jc w:val="both"/>
              <w:rPr>
                <w:rFonts w:ascii="Times New Roman" w:hAnsi="Times New Roman"/>
                <w:sz w:val="24"/>
                <w:szCs w:val="24"/>
                <w:lang w:val="en-US"/>
              </w:rPr>
            </w:pPr>
            <w:r w:rsidRPr="00F57446">
              <w:rPr>
                <w:rFonts w:ascii="Times New Roman" w:hAnsi="Times New Roman"/>
                <w:sz w:val="24"/>
                <w:szCs w:val="24"/>
                <w:lang w:val="en-US"/>
              </w:rPr>
              <w:t>8,5</w:t>
            </w:r>
          </w:p>
        </w:tc>
      </w:tr>
      <w:tr w:rsidR="00F57446" w:rsidRPr="00F57446" w14:paraId="5143A8A3" w14:textId="77777777" w:rsidTr="000D2136">
        <w:trPr>
          <w:trHeight w:val="290"/>
        </w:trPr>
        <w:tc>
          <w:tcPr>
            <w:tcW w:w="3000" w:type="dxa"/>
            <w:shd w:val="clear" w:color="auto" w:fill="auto"/>
            <w:noWrap/>
            <w:hideMark/>
          </w:tcPr>
          <w:p w14:paraId="27D2DC50" w14:textId="39E13ADE" w:rsidR="00F57446" w:rsidRPr="00F57446" w:rsidRDefault="00F57446" w:rsidP="00F57446">
            <w:pPr>
              <w:spacing w:after="0" w:line="360" w:lineRule="auto"/>
              <w:jc w:val="both"/>
              <w:rPr>
                <w:rFonts w:ascii="Times New Roman" w:hAnsi="Times New Roman"/>
                <w:sz w:val="24"/>
                <w:szCs w:val="24"/>
                <w:lang w:val="en-US"/>
              </w:rPr>
            </w:pPr>
            <w:r>
              <w:rPr>
                <w:rFonts w:ascii="Times New Roman" w:hAnsi="Times New Roman"/>
                <w:sz w:val="24"/>
                <w:szCs w:val="24"/>
                <w:lang w:val="en-US"/>
              </w:rPr>
              <w:t>Agriculture</w:t>
            </w:r>
          </w:p>
        </w:tc>
        <w:tc>
          <w:tcPr>
            <w:tcW w:w="480" w:type="dxa"/>
            <w:shd w:val="clear" w:color="auto" w:fill="auto"/>
            <w:noWrap/>
            <w:hideMark/>
          </w:tcPr>
          <w:p w14:paraId="5F5AA946" w14:textId="77777777" w:rsidR="00F57446" w:rsidRPr="00F57446" w:rsidRDefault="00F57446" w:rsidP="00F57446">
            <w:pPr>
              <w:spacing w:after="0" w:line="360" w:lineRule="auto"/>
              <w:jc w:val="both"/>
              <w:rPr>
                <w:rFonts w:ascii="Times New Roman" w:hAnsi="Times New Roman"/>
                <w:sz w:val="24"/>
                <w:szCs w:val="24"/>
                <w:lang w:val="en-US"/>
              </w:rPr>
            </w:pPr>
            <w:r w:rsidRPr="00F57446">
              <w:rPr>
                <w:rFonts w:ascii="Times New Roman" w:hAnsi="Times New Roman"/>
                <w:sz w:val="24"/>
                <w:szCs w:val="24"/>
                <w:lang w:val="en-US"/>
              </w:rPr>
              <w:t>94,8</w:t>
            </w:r>
          </w:p>
        </w:tc>
        <w:tc>
          <w:tcPr>
            <w:tcW w:w="2460" w:type="dxa"/>
            <w:shd w:val="clear" w:color="auto" w:fill="auto"/>
            <w:noWrap/>
            <w:hideMark/>
          </w:tcPr>
          <w:p w14:paraId="341CD5D2" w14:textId="77777777" w:rsidR="00F57446" w:rsidRPr="00F57446" w:rsidRDefault="00F57446" w:rsidP="00F57446">
            <w:pPr>
              <w:spacing w:after="0" w:line="360" w:lineRule="auto"/>
              <w:jc w:val="both"/>
              <w:rPr>
                <w:rFonts w:ascii="Times New Roman" w:hAnsi="Times New Roman"/>
                <w:sz w:val="24"/>
                <w:szCs w:val="24"/>
                <w:lang w:val="en-US"/>
              </w:rPr>
            </w:pPr>
            <w:r w:rsidRPr="00F57446">
              <w:rPr>
                <w:rFonts w:ascii="Times New Roman" w:hAnsi="Times New Roman"/>
                <w:sz w:val="24"/>
                <w:szCs w:val="24"/>
                <w:lang w:val="en-US"/>
              </w:rPr>
              <w:t>17,25</w:t>
            </w:r>
          </w:p>
        </w:tc>
      </w:tr>
    </w:tbl>
    <w:p w14:paraId="4608599B" w14:textId="4C4D69B6" w:rsidR="00916C90" w:rsidRPr="00AB56A1" w:rsidRDefault="00916C90" w:rsidP="00AB05A6">
      <w:pPr>
        <w:spacing w:after="0" w:line="360" w:lineRule="auto"/>
        <w:jc w:val="both"/>
        <w:rPr>
          <w:rFonts w:ascii="Times New Roman" w:eastAsia="Times New Roman" w:hAnsi="Times New Roman" w:cs="Times New Roman"/>
          <w:sz w:val="24"/>
          <w:szCs w:val="24"/>
        </w:rPr>
      </w:pPr>
    </w:p>
    <w:p w14:paraId="65E987BC" w14:textId="48B06D47" w:rsidR="00916C90" w:rsidRDefault="00916C90" w:rsidP="00AB05A6">
      <w:pPr>
        <w:spacing w:after="0" w:line="360" w:lineRule="auto"/>
        <w:jc w:val="both"/>
        <w:rPr>
          <w:rFonts w:ascii="Times New Roman" w:hAnsi="Times New Roman"/>
          <w:sz w:val="24"/>
          <w:szCs w:val="24"/>
        </w:rPr>
      </w:pPr>
      <w:r w:rsidRPr="00AB56A1">
        <w:rPr>
          <w:rFonts w:ascii="Times New Roman" w:hAnsi="Times New Roman"/>
          <w:sz w:val="24"/>
          <w:szCs w:val="24"/>
        </w:rPr>
        <w:t>So</w:t>
      </w:r>
      <w:r w:rsidR="00F57446">
        <w:rPr>
          <w:rFonts w:ascii="Times New Roman" w:hAnsi="Times New Roman"/>
          <w:sz w:val="24"/>
          <w:szCs w:val="24"/>
        </w:rPr>
        <w:t xml:space="preserve">urce: </w:t>
      </w:r>
      <w:proofErr w:type="spellStart"/>
      <w:r w:rsidR="00F57446">
        <w:rPr>
          <w:rFonts w:ascii="Times New Roman" w:hAnsi="Times New Roman"/>
          <w:sz w:val="24"/>
          <w:szCs w:val="24"/>
        </w:rPr>
        <w:t>Chmielewska</w:t>
      </w:r>
      <w:proofErr w:type="spellEnd"/>
      <w:r w:rsidR="00F57446">
        <w:rPr>
          <w:rFonts w:ascii="Times New Roman" w:hAnsi="Times New Roman"/>
          <w:sz w:val="24"/>
          <w:szCs w:val="24"/>
        </w:rPr>
        <w:t xml:space="preserve"> (2015) and author’s</w:t>
      </w:r>
      <w:r w:rsidRPr="00AB56A1">
        <w:rPr>
          <w:rFonts w:ascii="Times New Roman" w:hAnsi="Times New Roman"/>
          <w:sz w:val="24"/>
          <w:szCs w:val="24"/>
        </w:rPr>
        <w:t xml:space="preserve"> calculations based on the Central Statistical Office of Poland (GUS) data</w:t>
      </w:r>
    </w:p>
    <w:p w14:paraId="534F40D0" w14:textId="77777777" w:rsidR="00F57446" w:rsidRPr="00AB56A1" w:rsidRDefault="00F57446" w:rsidP="00AB05A6">
      <w:pPr>
        <w:spacing w:after="0" w:line="360" w:lineRule="auto"/>
        <w:jc w:val="both"/>
        <w:rPr>
          <w:rFonts w:ascii="Times New Roman" w:eastAsia="Times New Roman" w:hAnsi="Times New Roman" w:cs="Times New Roman"/>
          <w:sz w:val="24"/>
          <w:szCs w:val="24"/>
        </w:rPr>
      </w:pPr>
    </w:p>
    <w:p w14:paraId="4B09213F" w14:textId="6F3A8072" w:rsidR="00916C90" w:rsidRDefault="00916C90" w:rsidP="00AB05A6">
      <w:pPr>
        <w:spacing w:after="0" w:line="360" w:lineRule="auto"/>
        <w:jc w:val="both"/>
        <w:rPr>
          <w:rFonts w:ascii="Times New Roman" w:hAnsi="Times New Roman"/>
          <w:sz w:val="24"/>
          <w:szCs w:val="24"/>
        </w:rPr>
      </w:pPr>
      <w:r w:rsidRPr="00AB56A1">
        <w:rPr>
          <w:rFonts w:ascii="Times New Roman" w:hAnsi="Times New Roman"/>
          <w:sz w:val="24"/>
          <w:szCs w:val="24"/>
        </w:rPr>
        <w:tab/>
        <w:t xml:space="preserve">Thirdly, migrations also have </w:t>
      </w:r>
      <w:r w:rsidR="007054BC">
        <w:rPr>
          <w:rFonts w:ascii="Times New Roman" w:hAnsi="Times New Roman"/>
          <w:sz w:val="24"/>
          <w:szCs w:val="24"/>
        </w:rPr>
        <w:t xml:space="preserve">an </w:t>
      </w:r>
      <w:r w:rsidRPr="00AB56A1">
        <w:rPr>
          <w:rFonts w:ascii="Times New Roman" w:hAnsi="Times New Roman"/>
          <w:sz w:val="24"/>
          <w:szCs w:val="24"/>
        </w:rPr>
        <w:t>impact on inequalities at the regional level. The highest relative emigration indicators are noted in voivodeships with the lowest incomes and we can see that it has</w:t>
      </w:r>
      <w:r w:rsidR="007054BC">
        <w:rPr>
          <w:rFonts w:ascii="Times New Roman" w:hAnsi="Times New Roman"/>
          <w:sz w:val="24"/>
          <w:szCs w:val="24"/>
        </w:rPr>
        <w:t xml:space="preserve"> an</w:t>
      </w:r>
      <w:r w:rsidRPr="00AB56A1">
        <w:rPr>
          <w:rFonts w:ascii="Times New Roman" w:hAnsi="Times New Roman"/>
          <w:sz w:val="24"/>
          <w:szCs w:val="24"/>
        </w:rPr>
        <w:t xml:space="preserve"> impact on the wage level, the level of which counted as % of the national average salary has increased </w:t>
      </w:r>
      <w:r w:rsidR="007054BC">
        <w:rPr>
          <w:rFonts w:ascii="Times New Roman" w:hAnsi="Times New Roman"/>
          <w:sz w:val="24"/>
          <w:szCs w:val="24"/>
        </w:rPr>
        <w:t>in recent</w:t>
      </w:r>
      <w:r w:rsidRPr="00AB56A1">
        <w:rPr>
          <w:rFonts w:ascii="Times New Roman" w:hAnsi="Times New Roman"/>
          <w:sz w:val="24"/>
          <w:szCs w:val="24"/>
        </w:rPr>
        <w:t xml:space="preserve"> years. It may be surprising that Polish people are characterised by a higher mobility at the international level </w:t>
      </w:r>
      <w:r w:rsidR="007054BC" w:rsidRPr="00AB56A1">
        <w:rPr>
          <w:rFonts w:ascii="Times New Roman" w:hAnsi="Times New Roman"/>
          <w:sz w:val="24"/>
          <w:szCs w:val="24"/>
        </w:rPr>
        <w:t>tha</w:t>
      </w:r>
      <w:r w:rsidR="007054BC">
        <w:rPr>
          <w:rFonts w:ascii="Times New Roman" w:hAnsi="Times New Roman"/>
          <w:sz w:val="24"/>
          <w:szCs w:val="24"/>
        </w:rPr>
        <w:t>n</w:t>
      </w:r>
      <w:r w:rsidR="007054BC" w:rsidRPr="00AB56A1">
        <w:rPr>
          <w:rFonts w:ascii="Times New Roman" w:hAnsi="Times New Roman"/>
          <w:sz w:val="24"/>
          <w:szCs w:val="24"/>
        </w:rPr>
        <w:t xml:space="preserve"> </w:t>
      </w:r>
      <w:r w:rsidRPr="00AB56A1">
        <w:rPr>
          <w:rFonts w:ascii="Times New Roman" w:hAnsi="Times New Roman"/>
          <w:sz w:val="24"/>
          <w:szCs w:val="24"/>
        </w:rPr>
        <w:t>at the domestic level – ma</w:t>
      </w:r>
      <w:r w:rsidR="007054BC">
        <w:rPr>
          <w:rFonts w:ascii="Times New Roman" w:hAnsi="Times New Roman"/>
          <w:sz w:val="24"/>
          <w:szCs w:val="24"/>
        </w:rPr>
        <w:t>n</w:t>
      </w:r>
      <w:r w:rsidRPr="00AB56A1">
        <w:rPr>
          <w:rFonts w:ascii="Times New Roman" w:hAnsi="Times New Roman"/>
          <w:sz w:val="24"/>
          <w:szCs w:val="24"/>
        </w:rPr>
        <w:t xml:space="preserve">y people </w:t>
      </w:r>
      <w:r w:rsidR="007054BC">
        <w:rPr>
          <w:rFonts w:ascii="Times New Roman" w:hAnsi="Times New Roman"/>
          <w:sz w:val="24"/>
          <w:szCs w:val="24"/>
        </w:rPr>
        <w:t>from</w:t>
      </w:r>
      <w:r w:rsidR="007054BC" w:rsidRPr="00AB56A1">
        <w:rPr>
          <w:rFonts w:ascii="Times New Roman" w:hAnsi="Times New Roman"/>
          <w:sz w:val="24"/>
          <w:szCs w:val="24"/>
        </w:rPr>
        <w:t xml:space="preserve"> </w:t>
      </w:r>
      <w:proofErr w:type="spellStart"/>
      <w:r w:rsidRPr="00AB56A1">
        <w:rPr>
          <w:rFonts w:ascii="Times New Roman" w:hAnsi="Times New Roman"/>
          <w:sz w:val="24"/>
          <w:szCs w:val="24"/>
        </w:rPr>
        <w:t>Podlasie</w:t>
      </w:r>
      <w:proofErr w:type="spellEnd"/>
      <w:r w:rsidRPr="00AB56A1">
        <w:rPr>
          <w:rFonts w:ascii="Times New Roman" w:hAnsi="Times New Roman"/>
          <w:sz w:val="24"/>
          <w:szCs w:val="24"/>
        </w:rPr>
        <w:t xml:space="preserve"> or </w:t>
      </w:r>
      <w:proofErr w:type="spellStart"/>
      <w:r w:rsidRPr="00AB56A1">
        <w:rPr>
          <w:rFonts w:ascii="Times New Roman" w:hAnsi="Times New Roman"/>
          <w:sz w:val="24"/>
          <w:szCs w:val="24"/>
        </w:rPr>
        <w:t>Podkarpacie</w:t>
      </w:r>
      <w:proofErr w:type="spellEnd"/>
      <w:r w:rsidRPr="00AB56A1">
        <w:rPr>
          <w:rFonts w:ascii="Times New Roman" w:hAnsi="Times New Roman"/>
          <w:sz w:val="24"/>
          <w:szCs w:val="24"/>
        </w:rPr>
        <w:t xml:space="preserve"> decided to go to Great Britain and Ireland, despite the fact that they had not tried to seek </w:t>
      </w:r>
      <w:r w:rsidR="007054BC">
        <w:rPr>
          <w:rFonts w:ascii="Times New Roman" w:hAnsi="Times New Roman"/>
          <w:sz w:val="24"/>
          <w:szCs w:val="24"/>
        </w:rPr>
        <w:t xml:space="preserve">a </w:t>
      </w:r>
      <w:r w:rsidRPr="00AB56A1">
        <w:rPr>
          <w:rFonts w:ascii="Times New Roman" w:hAnsi="Times New Roman"/>
          <w:sz w:val="24"/>
          <w:szCs w:val="24"/>
        </w:rPr>
        <w:t xml:space="preserve">job in other regions of our country. An obvious explanation is </w:t>
      </w:r>
      <w:r w:rsidR="007054BC">
        <w:rPr>
          <w:rFonts w:ascii="Times New Roman" w:hAnsi="Times New Roman"/>
          <w:sz w:val="24"/>
          <w:szCs w:val="24"/>
        </w:rPr>
        <w:t>the</w:t>
      </w:r>
      <w:r w:rsidR="007054BC" w:rsidRPr="00AB56A1">
        <w:rPr>
          <w:rFonts w:ascii="Times New Roman" w:hAnsi="Times New Roman"/>
          <w:sz w:val="24"/>
          <w:szCs w:val="24"/>
        </w:rPr>
        <w:t xml:space="preserve"> </w:t>
      </w:r>
      <w:r w:rsidRPr="00AB56A1">
        <w:rPr>
          <w:rFonts w:ascii="Times New Roman" w:hAnsi="Times New Roman"/>
          <w:sz w:val="24"/>
          <w:szCs w:val="24"/>
        </w:rPr>
        <w:t>difference in the wage level that is differentiated between specific Polish regions, but not to such</w:t>
      </w:r>
      <w:r w:rsidR="007054BC">
        <w:rPr>
          <w:rFonts w:ascii="Times New Roman" w:hAnsi="Times New Roman"/>
          <w:sz w:val="24"/>
          <w:szCs w:val="24"/>
        </w:rPr>
        <w:t xml:space="preserve"> an</w:t>
      </w:r>
      <w:r w:rsidRPr="00AB56A1">
        <w:rPr>
          <w:rFonts w:ascii="Times New Roman" w:hAnsi="Times New Roman"/>
          <w:sz w:val="24"/>
          <w:szCs w:val="24"/>
        </w:rPr>
        <w:t xml:space="preserve"> extent as between Poland and Western Europe. Another explanation of this phenomenon </w:t>
      </w:r>
      <w:r w:rsidR="007054BC">
        <w:rPr>
          <w:rFonts w:ascii="Times New Roman" w:hAnsi="Times New Roman"/>
          <w:sz w:val="24"/>
          <w:szCs w:val="24"/>
        </w:rPr>
        <w:t>is the</w:t>
      </w:r>
      <w:r w:rsidR="007054BC" w:rsidRPr="00AB56A1">
        <w:rPr>
          <w:rFonts w:ascii="Times New Roman" w:hAnsi="Times New Roman"/>
          <w:sz w:val="24"/>
          <w:szCs w:val="24"/>
        </w:rPr>
        <w:t xml:space="preserve"> </w:t>
      </w:r>
      <w:r w:rsidRPr="00AB56A1">
        <w:rPr>
          <w:rFonts w:ascii="Times New Roman" w:hAnsi="Times New Roman"/>
          <w:sz w:val="24"/>
          <w:szCs w:val="24"/>
        </w:rPr>
        <w:t>growing Polish diasporas in particular countries of Western Europe which make</w:t>
      </w:r>
      <w:r w:rsidR="007054BC">
        <w:rPr>
          <w:rFonts w:ascii="Times New Roman" w:hAnsi="Times New Roman"/>
          <w:sz w:val="24"/>
          <w:szCs w:val="24"/>
        </w:rPr>
        <w:t xml:space="preserve"> it so</w:t>
      </w:r>
      <w:r w:rsidRPr="00AB56A1">
        <w:rPr>
          <w:rFonts w:ascii="Times New Roman" w:hAnsi="Times New Roman"/>
          <w:sz w:val="24"/>
          <w:szCs w:val="24"/>
        </w:rPr>
        <w:t xml:space="preserve"> that language, mental or </w:t>
      </w:r>
      <w:r w:rsidR="007054BC" w:rsidRPr="00AB56A1">
        <w:rPr>
          <w:rFonts w:ascii="Times New Roman" w:hAnsi="Times New Roman"/>
          <w:sz w:val="24"/>
          <w:szCs w:val="24"/>
        </w:rPr>
        <w:t>cultur</w:t>
      </w:r>
      <w:r w:rsidR="007054BC">
        <w:rPr>
          <w:rFonts w:ascii="Times New Roman" w:hAnsi="Times New Roman"/>
          <w:sz w:val="24"/>
          <w:szCs w:val="24"/>
        </w:rPr>
        <w:t>al</w:t>
      </w:r>
      <w:r w:rsidR="007054BC" w:rsidRPr="00AB56A1">
        <w:rPr>
          <w:rFonts w:ascii="Times New Roman" w:hAnsi="Times New Roman"/>
          <w:sz w:val="24"/>
          <w:szCs w:val="24"/>
        </w:rPr>
        <w:t xml:space="preserve"> </w:t>
      </w:r>
      <w:r w:rsidRPr="00AB56A1">
        <w:rPr>
          <w:rFonts w:ascii="Times New Roman" w:hAnsi="Times New Roman"/>
          <w:sz w:val="24"/>
          <w:szCs w:val="24"/>
        </w:rPr>
        <w:t xml:space="preserve">barriers are </w:t>
      </w:r>
      <w:r w:rsidR="007054BC">
        <w:rPr>
          <w:rFonts w:ascii="Times New Roman" w:hAnsi="Times New Roman"/>
          <w:sz w:val="24"/>
          <w:szCs w:val="24"/>
        </w:rPr>
        <w:t>increasingly</w:t>
      </w:r>
      <w:r w:rsidRPr="00AB56A1">
        <w:rPr>
          <w:rFonts w:ascii="Times New Roman" w:hAnsi="Times New Roman"/>
          <w:sz w:val="24"/>
          <w:szCs w:val="24"/>
        </w:rPr>
        <w:t xml:space="preserve"> less important. </w:t>
      </w:r>
    </w:p>
    <w:p w14:paraId="325E89C7" w14:textId="6FD87493" w:rsidR="007E4099" w:rsidRDefault="007E4099" w:rsidP="00AB05A6">
      <w:pPr>
        <w:spacing w:after="0" w:line="360" w:lineRule="auto"/>
        <w:jc w:val="both"/>
        <w:rPr>
          <w:rFonts w:ascii="Times New Roman" w:hAnsi="Times New Roman"/>
          <w:sz w:val="24"/>
          <w:szCs w:val="24"/>
        </w:rPr>
      </w:pPr>
    </w:p>
    <w:p w14:paraId="5DFD3113" w14:textId="5550818A" w:rsidR="007E4099" w:rsidRDefault="007E4099" w:rsidP="00AB05A6">
      <w:pPr>
        <w:spacing w:after="0" w:line="360" w:lineRule="auto"/>
        <w:jc w:val="both"/>
        <w:rPr>
          <w:rFonts w:ascii="Times New Roman" w:hAnsi="Times New Roman"/>
          <w:sz w:val="24"/>
          <w:szCs w:val="24"/>
        </w:rPr>
      </w:pPr>
    </w:p>
    <w:p w14:paraId="0C866A98" w14:textId="1BB40C6F" w:rsidR="007E4099" w:rsidRDefault="007E4099" w:rsidP="00AB05A6">
      <w:pPr>
        <w:spacing w:after="0" w:line="360" w:lineRule="auto"/>
        <w:jc w:val="both"/>
        <w:rPr>
          <w:rFonts w:ascii="Times New Roman" w:hAnsi="Times New Roman"/>
          <w:sz w:val="24"/>
          <w:szCs w:val="24"/>
        </w:rPr>
      </w:pPr>
    </w:p>
    <w:p w14:paraId="384D4195" w14:textId="3F1BFC7A" w:rsidR="00916C90" w:rsidRDefault="00916C90" w:rsidP="00AB05A6">
      <w:pPr>
        <w:spacing w:after="0" w:line="360" w:lineRule="auto"/>
        <w:jc w:val="both"/>
        <w:rPr>
          <w:rFonts w:ascii="Times New Roman" w:hAnsi="Times New Roman"/>
          <w:b/>
          <w:sz w:val="24"/>
          <w:szCs w:val="24"/>
        </w:rPr>
      </w:pPr>
      <w:r w:rsidRPr="00AB56A1">
        <w:rPr>
          <w:rFonts w:ascii="Times New Roman" w:hAnsi="Times New Roman"/>
          <w:sz w:val="24"/>
          <w:szCs w:val="24"/>
        </w:rPr>
        <w:lastRenderedPageBreak/>
        <w:tab/>
      </w:r>
      <w:r w:rsidRPr="00AB56A1">
        <w:rPr>
          <w:rFonts w:ascii="Times New Roman" w:hAnsi="Times New Roman"/>
          <w:b/>
          <w:sz w:val="24"/>
          <w:szCs w:val="24"/>
        </w:rPr>
        <w:t>Table 16.</w:t>
      </w:r>
      <w:r w:rsidR="00205BDB" w:rsidRPr="00AB56A1">
        <w:rPr>
          <w:rFonts w:ascii="Times New Roman" w:hAnsi="Times New Roman"/>
          <w:b/>
          <w:sz w:val="24"/>
          <w:szCs w:val="24"/>
        </w:rPr>
        <w:t xml:space="preserve"> </w:t>
      </w:r>
      <w:r w:rsidRPr="00AB56A1">
        <w:rPr>
          <w:rFonts w:ascii="Times New Roman" w:hAnsi="Times New Roman"/>
          <w:b/>
          <w:sz w:val="24"/>
          <w:szCs w:val="24"/>
        </w:rPr>
        <w:t>Emigrants and salaries</w:t>
      </w:r>
      <w:r w:rsidR="00535E22">
        <w:rPr>
          <w:rFonts w:ascii="Times New Roman" w:hAnsi="Times New Roman"/>
          <w:b/>
          <w:sz w:val="24"/>
          <w:szCs w:val="24"/>
        </w:rPr>
        <w:t xml:space="preserve"> in specific Polish regions (</w:t>
      </w:r>
      <w:proofErr w:type="spellStart"/>
      <w:r w:rsidR="00535E22">
        <w:rPr>
          <w:rFonts w:ascii="Times New Roman" w:hAnsi="Times New Roman"/>
          <w:b/>
          <w:sz w:val="24"/>
          <w:szCs w:val="24"/>
        </w:rPr>
        <w:t>voivodeships</w:t>
      </w:r>
      <w:proofErr w:type="spellEnd"/>
      <w:r w:rsidR="00535E22">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0"/>
        <w:gridCol w:w="960"/>
        <w:gridCol w:w="960"/>
        <w:gridCol w:w="960"/>
        <w:gridCol w:w="960"/>
      </w:tblGrid>
      <w:tr w:rsidR="007E4099" w:rsidRPr="007E4099" w14:paraId="2D4069E4" w14:textId="77777777" w:rsidTr="000D2136">
        <w:trPr>
          <w:trHeight w:val="920"/>
        </w:trPr>
        <w:tc>
          <w:tcPr>
            <w:tcW w:w="2280" w:type="dxa"/>
            <w:shd w:val="clear" w:color="auto" w:fill="auto"/>
            <w:noWrap/>
            <w:hideMark/>
          </w:tcPr>
          <w:p w14:paraId="6B925E8D" w14:textId="77777777" w:rsidR="007E4099" w:rsidRPr="007E4099" w:rsidRDefault="007E4099" w:rsidP="007E4099">
            <w:pPr>
              <w:spacing w:after="0" w:line="360" w:lineRule="auto"/>
              <w:jc w:val="both"/>
              <w:rPr>
                <w:rFonts w:ascii="Times New Roman" w:hAnsi="Times New Roman"/>
                <w:b/>
                <w:sz w:val="24"/>
                <w:szCs w:val="24"/>
                <w:lang w:val="pl-PL"/>
              </w:rPr>
            </w:pPr>
            <w:r w:rsidRPr="007E4099">
              <w:rPr>
                <w:rFonts w:ascii="Times New Roman" w:hAnsi="Times New Roman"/>
                <w:b/>
                <w:sz w:val="24"/>
                <w:szCs w:val="24"/>
                <w:lang w:val="pl-PL"/>
              </w:rPr>
              <w:t> </w:t>
            </w:r>
          </w:p>
        </w:tc>
        <w:tc>
          <w:tcPr>
            <w:tcW w:w="960" w:type="dxa"/>
            <w:shd w:val="clear" w:color="auto" w:fill="auto"/>
            <w:noWrap/>
            <w:hideMark/>
          </w:tcPr>
          <w:p w14:paraId="6942361D" w14:textId="77777777" w:rsidR="007E4099" w:rsidRPr="007E4099" w:rsidRDefault="007E4099" w:rsidP="007E4099">
            <w:pPr>
              <w:spacing w:after="0" w:line="360" w:lineRule="auto"/>
              <w:jc w:val="both"/>
              <w:rPr>
                <w:rFonts w:ascii="Times New Roman" w:hAnsi="Times New Roman"/>
                <w:b/>
                <w:sz w:val="24"/>
                <w:szCs w:val="24"/>
                <w:lang w:val="pl-PL"/>
              </w:rPr>
            </w:pPr>
            <w:r w:rsidRPr="007E4099">
              <w:rPr>
                <w:rFonts w:ascii="Times New Roman" w:hAnsi="Times New Roman"/>
                <w:b/>
                <w:sz w:val="24"/>
                <w:szCs w:val="24"/>
                <w:lang w:val="pl-PL"/>
              </w:rPr>
              <w:t> </w:t>
            </w:r>
          </w:p>
        </w:tc>
        <w:tc>
          <w:tcPr>
            <w:tcW w:w="960" w:type="dxa"/>
            <w:shd w:val="clear" w:color="auto" w:fill="auto"/>
            <w:noWrap/>
            <w:hideMark/>
          </w:tcPr>
          <w:p w14:paraId="2C22F025" w14:textId="77777777" w:rsidR="007E4099" w:rsidRPr="007E4099" w:rsidRDefault="007E4099" w:rsidP="007E4099">
            <w:pPr>
              <w:spacing w:after="0" w:line="360" w:lineRule="auto"/>
              <w:jc w:val="both"/>
              <w:rPr>
                <w:rFonts w:ascii="Times New Roman" w:hAnsi="Times New Roman"/>
                <w:b/>
                <w:sz w:val="24"/>
                <w:szCs w:val="24"/>
                <w:lang w:val="pl-PL"/>
              </w:rPr>
            </w:pPr>
            <w:r w:rsidRPr="007E4099">
              <w:rPr>
                <w:rFonts w:ascii="Times New Roman" w:hAnsi="Times New Roman"/>
                <w:b/>
                <w:sz w:val="24"/>
                <w:szCs w:val="24"/>
                <w:lang w:val="pl-PL"/>
              </w:rPr>
              <w:t> </w:t>
            </w:r>
          </w:p>
        </w:tc>
        <w:tc>
          <w:tcPr>
            <w:tcW w:w="1920" w:type="dxa"/>
            <w:gridSpan w:val="2"/>
            <w:shd w:val="clear" w:color="auto" w:fill="auto"/>
            <w:hideMark/>
          </w:tcPr>
          <w:p w14:paraId="53638DB6" w14:textId="62262A8D" w:rsidR="007E4099" w:rsidRPr="007E4099" w:rsidRDefault="00535E22" w:rsidP="007E4099">
            <w:pPr>
              <w:spacing w:after="0" w:line="360" w:lineRule="auto"/>
              <w:jc w:val="both"/>
              <w:rPr>
                <w:rFonts w:ascii="Times New Roman" w:hAnsi="Times New Roman"/>
                <w:b/>
                <w:bCs/>
                <w:sz w:val="24"/>
                <w:szCs w:val="24"/>
                <w:lang w:val="pl-PL"/>
              </w:rPr>
            </w:pPr>
            <w:proofErr w:type="spellStart"/>
            <w:r>
              <w:rPr>
                <w:rFonts w:ascii="Times New Roman" w:hAnsi="Times New Roman"/>
                <w:b/>
                <w:bCs/>
                <w:sz w:val="24"/>
                <w:szCs w:val="24"/>
                <w:lang w:val="pl-PL"/>
              </w:rPr>
              <w:t>Salary</w:t>
            </w:r>
            <w:proofErr w:type="spellEnd"/>
            <w:r>
              <w:rPr>
                <w:rFonts w:ascii="Times New Roman" w:hAnsi="Times New Roman"/>
                <w:b/>
                <w:bCs/>
                <w:sz w:val="24"/>
                <w:szCs w:val="24"/>
                <w:lang w:val="pl-PL"/>
              </w:rPr>
              <w:t xml:space="preserve"> vs. </w:t>
            </w:r>
            <w:proofErr w:type="spellStart"/>
            <w:r>
              <w:rPr>
                <w:rFonts w:ascii="Times New Roman" w:hAnsi="Times New Roman"/>
                <w:b/>
                <w:bCs/>
                <w:sz w:val="24"/>
                <w:szCs w:val="24"/>
                <w:lang w:val="pl-PL"/>
              </w:rPr>
              <w:t>national</w:t>
            </w:r>
            <w:proofErr w:type="spellEnd"/>
            <w:r>
              <w:rPr>
                <w:rFonts w:ascii="Times New Roman" w:hAnsi="Times New Roman"/>
                <w:b/>
                <w:bCs/>
                <w:sz w:val="24"/>
                <w:szCs w:val="24"/>
                <w:lang w:val="pl-PL"/>
              </w:rPr>
              <w:t xml:space="preserve"> </w:t>
            </w:r>
            <w:proofErr w:type="spellStart"/>
            <w:r>
              <w:rPr>
                <w:rFonts w:ascii="Times New Roman" w:hAnsi="Times New Roman"/>
                <w:b/>
                <w:bCs/>
                <w:sz w:val="24"/>
                <w:szCs w:val="24"/>
                <w:lang w:val="pl-PL"/>
              </w:rPr>
              <w:t>average</w:t>
            </w:r>
            <w:proofErr w:type="spellEnd"/>
            <w:r w:rsidR="007E4099" w:rsidRPr="007E4099">
              <w:rPr>
                <w:rFonts w:ascii="Times New Roman" w:hAnsi="Times New Roman"/>
                <w:b/>
                <w:bCs/>
                <w:sz w:val="24"/>
                <w:szCs w:val="24"/>
                <w:lang w:val="pl-PL"/>
              </w:rPr>
              <w:t>#</w:t>
            </w:r>
          </w:p>
        </w:tc>
      </w:tr>
      <w:tr w:rsidR="007E4099" w:rsidRPr="007E4099" w14:paraId="190F4CAE" w14:textId="77777777" w:rsidTr="000D2136">
        <w:trPr>
          <w:trHeight w:val="290"/>
        </w:trPr>
        <w:tc>
          <w:tcPr>
            <w:tcW w:w="2280" w:type="dxa"/>
            <w:shd w:val="clear" w:color="auto" w:fill="auto"/>
            <w:noWrap/>
            <w:hideMark/>
          </w:tcPr>
          <w:p w14:paraId="1B2B2373" w14:textId="24EEA2A0" w:rsidR="007E4099" w:rsidRPr="007E4099" w:rsidRDefault="00535E22" w:rsidP="007E4099">
            <w:pPr>
              <w:spacing w:after="0" w:line="360" w:lineRule="auto"/>
              <w:jc w:val="both"/>
              <w:rPr>
                <w:rFonts w:ascii="Times New Roman" w:hAnsi="Times New Roman"/>
                <w:b/>
                <w:bCs/>
                <w:sz w:val="24"/>
                <w:szCs w:val="24"/>
                <w:lang w:val="pl-PL"/>
              </w:rPr>
            </w:pPr>
            <w:proofErr w:type="spellStart"/>
            <w:r>
              <w:rPr>
                <w:rFonts w:ascii="Times New Roman" w:hAnsi="Times New Roman"/>
                <w:b/>
                <w:bCs/>
                <w:sz w:val="24"/>
                <w:szCs w:val="24"/>
                <w:lang w:val="pl-PL"/>
              </w:rPr>
              <w:t>Voivodeship</w:t>
            </w:r>
            <w:proofErr w:type="spellEnd"/>
          </w:p>
        </w:tc>
        <w:tc>
          <w:tcPr>
            <w:tcW w:w="1920" w:type="dxa"/>
            <w:gridSpan w:val="2"/>
            <w:shd w:val="clear" w:color="auto" w:fill="auto"/>
            <w:noWrap/>
            <w:hideMark/>
          </w:tcPr>
          <w:p w14:paraId="60FBC186" w14:textId="318BF7F0" w:rsidR="007E4099" w:rsidRPr="007E4099" w:rsidRDefault="00535E22" w:rsidP="007E4099">
            <w:pPr>
              <w:spacing w:after="0" w:line="360" w:lineRule="auto"/>
              <w:jc w:val="both"/>
              <w:rPr>
                <w:rFonts w:ascii="Times New Roman" w:hAnsi="Times New Roman"/>
                <w:b/>
                <w:bCs/>
                <w:sz w:val="24"/>
                <w:szCs w:val="24"/>
                <w:lang w:val="pl-PL"/>
              </w:rPr>
            </w:pPr>
            <w:proofErr w:type="spellStart"/>
            <w:r>
              <w:rPr>
                <w:rFonts w:ascii="Times New Roman" w:hAnsi="Times New Roman"/>
                <w:b/>
                <w:bCs/>
                <w:sz w:val="24"/>
                <w:szCs w:val="24"/>
                <w:lang w:val="pl-PL"/>
              </w:rPr>
              <w:t>Number</w:t>
            </w:r>
            <w:proofErr w:type="spellEnd"/>
            <w:r>
              <w:rPr>
                <w:rFonts w:ascii="Times New Roman" w:hAnsi="Times New Roman"/>
                <w:b/>
                <w:bCs/>
                <w:sz w:val="24"/>
                <w:szCs w:val="24"/>
                <w:lang w:val="pl-PL"/>
              </w:rPr>
              <w:t xml:space="preserve"> of </w:t>
            </w:r>
            <w:proofErr w:type="spellStart"/>
            <w:r>
              <w:rPr>
                <w:rFonts w:ascii="Times New Roman" w:hAnsi="Times New Roman"/>
                <w:b/>
                <w:bCs/>
                <w:sz w:val="24"/>
                <w:szCs w:val="24"/>
                <w:lang w:val="pl-PL"/>
              </w:rPr>
              <w:t>emmigrants</w:t>
            </w:r>
            <w:proofErr w:type="spellEnd"/>
            <w:r w:rsidR="007E4099" w:rsidRPr="007E4099">
              <w:rPr>
                <w:rFonts w:ascii="Times New Roman" w:hAnsi="Times New Roman"/>
                <w:b/>
                <w:bCs/>
                <w:sz w:val="24"/>
                <w:szCs w:val="24"/>
                <w:lang w:val="pl-PL"/>
              </w:rPr>
              <w:t>*</w:t>
            </w:r>
          </w:p>
        </w:tc>
        <w:tc>
          <w:tcPr>
            <w:tcW w:w="960" w:type="dxa"/>
            <w:shd w:val="clear" w:color="auto" w:fill="auto"/>
            <w:noWrap/>
            <w:hideMark/>
          </w:tcPr>
          <w:p w14:paraId="353C2E36" w14:textId="77777777" w:rsidR="007E4099" w:rsidRPr="007E4099" w:rsidRDefault="007E4099" w:rsidP="007E4099">
            <w:pPr>
              <w:spacing w:after="0" w:line="360" w:lineRule="auto"/>
              <w:jc w:val="both"/>
              <w:rPr>
                <w:rFonts w:ascii="Times New Roman" w:hAnsi="Times New Roman"/>
                <w:b/>
                <w:bCs/>
                <w:sz w:val="24"/>
                <w:szCs w:val="24"/>
                <w:lang w:val="pl-PL"/>
              </w:rPr>
            </w:pPr>
            <w:r w:rsidRPr="007E4099">
              <w:rPr>
                <w:rFonts w:ascii="Times New Roman" w:hAnsi="Times New Roman"/>
                <w:b/>
                <w:bCs/>
                <w:sz w:val="24"/>
                <w:szCs w:val="24"/>
                <w:lang w:val="pl-PL"/>
              </w:rPr>
              <w:t>2006</w:t>
            </w:r>
          </w:p>
        </w:tc>
        <w:tc>
          <w:tcPr>
            <w:tcW w:w="960" w:type="dxa"/>
            <w:shd w:val="clear" w:color="auto" w:fill="auto"/>
            <w:noWrap/>
            <w:hideMark/>
          </w:tcPr>
          <w:p w14:paraId="60C5A31C" w14:textId="77777777" w:rsidR="007E4099" w:rsidRPr="007E4099" w:rsidRDefault="007E4099" w:rsidP="007E4099">
            <w:pPr>
              <w:spacing w:after="0" w:line="360" w:lineRule="auto"/>
              <w:jc w:val="both"/>
              <w:rPr>
                <w:rFonts w:ascii="Times New Roman" w:hAnsi="Times New Roman"/>
                <w:b/>
                <w:bCs/>
                <w:sz w:val="24"/>
                <w:szCs w:val="24"/>
                <w:lang w:val="pl-PL"/>
              </w:rPr>
            </w:pPr>
            <w:r w:rsidRPr="007E4099">
              <w:rPr>
                <w:rFonts w:ascii="Times New Roman" w:hAnsi="Times New Roman"/>
                <w:b/>
                <w:bCs/>
                <w:sz w:val="24"/>
                <w:szCs w:val="24"/>
                <w:lang w:val="pl-PL"/>
              </w:rPr>
              <w:t>2014</w:t>
            </w:r>
          </w:p>
        </w:tc>
      </w:tr>
      <w:tr w:rsidR="007E4099" w:rsidRPr="007E4099" w14:paraId="455F77DE" w14:textId="77777777" w:rsidTr="000D2136">
        <w:trPr>
          <w:trHeight w:val="290"/>
        </w:trPr>
        <w:tc>
          <w:tcPr>
            <w:tcW w:w="2280" w:type="dxa"/>
            <w:shd w:val="clear" w:color="auto" w:fill="auto"/>
            <w:noWrap/>
            <w:hideMark/>
          </w:tcPr>
          <w:p w14:paraId="7AFD6B13" w14:textId="77777777" w:rsidR="007E4099" w:rsidRPr="007E4099" w:rsidRDefault="007E4099" w:rsidP="007E4099">
            <w:pPr>
              <w:spacing w:after="0" w:line="360" w:lineRule="auto"/>
              <w:jc w:val="both"/>
              <w:rPr>
                <w:rFonts w:ascii="Times New Roman" w:hAnsi="Times New Roman"/>
                <w:sz w:val="24"/>
                <w:szCs w:val="24"/>
                <w:lang w:val="pl-PL"/>
              </w:rPr>
            </w:pPr>
            <w:r w:rsidRPr="007E4099">
              <w:rPr>
                <w:rFonts w:ascii="Times New Roman" w:hAnsi="Times New Roman"/>
                <w:sz w:val="24"/>
                <w:szCs w:val="24"/>
                <w:lang w:val="pl-PL"/>
              </w:rPr>
              <w:t>Opolskie</w:t>
            </w:r>
          </w:p>
        </w:tc>
        <w:tc>
          <w:tcPr>
            <w:tcW w:w="960" w:type="dxa"/>
            <w:shd w:val="clear" w:color="auto" w:fill="auto"/>
            <w:noWrap/>
            <w:hideMark/>
          </w:tcPr>
          <w:p w14:paraId="6701BD1F" w14:textId="77777777" w:rsidR="007E4099" w:rsidRPr="007E4099" w:rsidRDefault="007E4099" w:rsidP="007E4099">
            <w:pPr>
              <w:spacing w:after="0" w:line="360" w:lineRule="auto"/>
              <w:jc w:val="both"/>
              <w:rPr>
                <w:rFonts w:ascii="Times New Roman" w:hAnsi="Times New Roman"/>
                <w:sz w:val="24"/>
                <w:szCs w:val="24"/>
                <w:lang w:val="pl-PL"/>
              </w:rPr>
            </w:pPr>
            <w:r w:rsidRPr="007E4099">
              <w:rPr>
                <w:rFonts w:ascii="Times New Roman" w:hAnsi="Times New Roman"/>
                <w:sz w:val="24"/>
                <w:szCs w:val="24"/>
                <w:lang w:val="pl-PL"/>
              </w:rPr>
              <w:t>106,3</w:t>
            </w:r>
          </w:p>
        </w:tc>
        <w:tc>
          <w:tcPr>
            <w:tcW w:w="960" w:type="dxa"/>
            <w:shd w:val="clear" w:color="auto" w:fill="auto"/>
            <w:noWrap/>
            <w:hideMark/>
          </w:tcPr>
          <w:p w14:paraId="48C14CF7" w14:textId="77777777" w:rsidR="007E4099" w:rsidRPr="007E4099" w:rsidRDefault="007E4099" w:rsidP="007E4099">
            <w:pPr>
              <w:spacing w:after="0" w:line="360" w:lineRule="auto"/>
              <w:jc w:val="both"/>
              <w:rPr>
                <w:rFonts w:ascii="Times New Roman" w:hAnsi="Times New Roman"/>
                <w:sz w:val="24"/>
                <w:szCs w:val="24"/>
                <w:lang w:val="pl-PL"/>
              </w:rPr>
            </w:pPr>
            <w:r w:rsidRPr="007E4099">
              <w:rPr>
                <w:rFonts w:ascii="Times New Roman" w:hAnsi="Times New Roman"/>
                <w:sz w:val="24"/>
                <w:szCs w:val="24"/>
                <w:lang w:val="pl-PL"/>
              </w:rPr>
              <w:t> </w:t>
            </w:r>
          </w:p>
        </w:tc>
        <w:tc>
          <w:tcPr>
            <w:tcW w:w="960" w:type="dxa"/>
            <w:shd w:val="clear" w:color="auto" w:fill="auto"/>
            <w:noWrap/>
            <w:hideMark/>
          </w:tcPr>
          <w:p w14:paraId="3AB27F7D" w14:textId="77777777" w:rsidR="007E4099" w:rsidRPr="007E4099" w:rsidRDefault="007E4099" w:rsidP="007E4099">
            <w:pPr>
              <w:spacing w:after="0" w:line="360" w:lineRule="auto"/>
              <w:jc w:val="both"/>
              <w:rPr>
                <w:rFonts w:ascii="Times New Roman" w:hAnsi="Times New Roman"/>
                <w:sz w:val="24"/>
                <w:szCs w:val="24"/>
                <w:lang w:val="pl-PL"/>
              </w:rPr>
            </w:pPr>
            <w:r w:rsidRPr="007E4099">
              <w:rPr>
                <w:rFonts w:ascii="Times New Roman" w:hAnsi="Times New Roman"/>
                <w:sz w:val="24"/>
                <w:szCs w:val="24"/>
                <w:lang w:val="pl-PL"/>
              </w:rPr>
              <w:t>89,8</w:t>
            </w:r>
          </w:p>
        </w:tc>
        <w:tc>
          <w:tcPr>
            <w:tcW w:w="960" w:type="dxa"/>
            <w:shd w:val="clear" w:color="auto" w:fill="auto"/>
            <w:noWrap/>
            <w:hideMark/>
          </w:tcPr>
          <w:p w14:paraId="6CD1BD7E" w14:textId="77777777" w:rsidR="007E4099" w:rsidRPr="007E4099" w:rsidRDefault="007E4099" w:rsidP="007E4099">
            <w:pPr>
              <w:spacing w:after="0" w:line="360" w:lineRule="auto"/>
              <w:jc w:val="both"/>
              <w:rPr>
                <w:rFonts w:ascii="Times New Roman" w:hAnsi="Times New Roman"/>
                <w:sz w:val="24"/>
                <w:szCs w:val="24"/>
                <w:lang w:val="pl-PL"/>
              </w:rPr>
            </w:pPr>
            <w:r w:rsidRPr="007E4099">
              <w:rPr>
                <w:rFonts w:ascii="Times New Roman" w:hAnsi="Times New Roman"/>
                <w:sz w:val="24"/>
                <w:szCs w:val="24"/>
                <w:lang w:val="pl-PL"/>
              </w:rPr>
              <w:t>90,8</w:t>
            </w:r>
          </w:p>
        </w:tc>
      </w:tr>
      <w:tr w:rsidR="007E4099" w:rsidRPr="007E4099" w14:paraId="6BE1F3AD" w14:textId="77777777" w:rsidTr="000D2136">
        <w:trPr>
          <w:trHeight w:val="290"/>
        </w:trPr>
        <w:tc>
          <w:tcPr>
            <w:tcW w:w="2280" w:type="dxa"/>
            <w:shd w:val="clear" w:color="auto" w:fill="auto"/>
            <w:noWrap/>
            <w:hideMark/>
          </w:tcPr>
          <w:p w14:paraId="7A866B78"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Podlaskie</w:t>
            </w:r>
            <w:proofErr w:type="spellEnd"/>
          </w:p>
        </w:tc>
        <w:tc>
          <w:tcPr>
            <w:tcW w:w="960" w:type="dxa"/>
            <w:shd w:val="clear" w:color="auto" w:fill="auto"/>
            <w:noWrap/>
            <w:hideMark/>
          </w:tcPr>
          <w:p w14:paraId="11D5C30C"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91,4</w:t>
            </w:r>
          </w:p>
        </w:tc>
        <w:tc>
          <w:tcPr>
            <w:tcW w:w="960" w:type="dxa"/>
            <w:shd w:val="clear" w:color="auto" w:fill="auto"/>
            <w:noWrap/>
            <w:hideMark/>
          </w:tcPr>
          <w:p w14:paraId="50A85EED"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664E937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87,5</w:t>
            </w:r>
          </w:p>
        </w:tc>
        <w:tc>
          <w:tcPr>
            <w:tcW w:w="960" w:type="dxa"/>
            <w:shd w:val="clear" w:color="auto" w:fill="auto"/>
            <w:noWrap/>
            <w:hideMark/>
          </w:tcPr>
          <w:p w14:paraId="6F7B6516"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88,2</w:t>
            </w:r>
          </w:p>
        </w:tc>
      </w:tr>
      <w:tr w:rsidR="007E4099" w:rsidRPr="007E4099" w14:paraId="2CECE5E2" w14:textId="77777777" w:rsidTr="000D2136">
        <w:trPr>
          <w:trHeight w:val="290"/>
        </w:trPr>
        <w:tc>
          <w:tcPr>
            <w:tcW w:w="2280" w:type="dxa"/>
            <w:shd w:val="clear" w:color="auto" w:fill="auto"/>
            <w:noWrap/>
            <w:hideMark/>
          </w:tcPr>
          <w:p w14:paraId="564E2942"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Podkarpackie</w:t>
            </w:r>
            <w:proofErr w:type="spellEnd"/>
          </w:p>
        </w:tc>
        <w:tc>
          <w:tcPr>
            <w:tcW w:w="960" w:type="dxa"/>
            <w:shd w:val="clear" w:color="auto" w:fill="auto"/>
            <w:noWrap/>
            <w:hideMark/>
          </w:tcPr>
          <w:p w14:paraId="0F91BB18"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84</w:t>
            </w:r>
          </w:p>
        </w:tc>
        <w:tc>
          <w:tcPr>
            <w:tcW w:w="960" w:type="dxa"/>
            <w:shd w:val="clear" w:color="auto" w:fill="auto"/>
            <w:noWrap/>
            <w:hideMark/>
          </w:tcPr>
          <w:p w14:paraId="64C353B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346EB48C"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82,7</w:t>
            </w:r>
          </w:p>
        </w:tc>
        <w:tc>
          <w:tcPr>
            <w:tcW w:w="960" w:type="dxa"/>
            <w:shd w:val="clear" w:color="auto" w:fill="auto"/>
            <w:noWrap/>
            <w:hideMark/>
          </w:tcPr>
          <w:p w14:paraId="1611336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85,2</w:t>
            </w:r>
          </w:p>
        </w:tc>
      </w:tr>
      <w:tr w:rsidR="007E4099" w:rsidRPr="007E4099" w14:paraId="2D02FB6C" w14:textId="77777777" w:rsidTr="000D2136">
        <w:trPr>
          <w:trHeight w:val="290"/>
        </w:trPr>
        <w:tc>
          <w:tcPr>
            <w:tcW w:w="2280" w:type="dxa"/>
            <w:shd w:val="clear" w:color="auto" w:fill="auto"/>
            <w:noWrap/>
            <w:hideMark/>
          </w:tcPr>
          <w:p w14:paraId="173BDA2F"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Warmińsko-Mazurskie</w:t>
            </w:r>
            <w:proofErr w:type="spellEnd"/>
          </w:p>
        </w:tc>
        <w:tc>
          <w:tcPr>
            <w:tcW w:w="960" w:type="dxa"/>
            <w:shd w:val="clear" w:color="auto" w:fill="auto"/>
            <w:noWrap/>
            <w:hideMark/>
          </w:tcPr>
          <w:p w14:paraId="6E2DF0B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74,6</w:t>
            </w:r>
          </w:p>
        </w:tc>
        <w:tc>
          <w:tcPr>
            <w:tcW w:w="960" w:type="dxa"/>
            <w:shd w:val="clear" w:color="auto" w:fill="auto"/>
            <w:noWrap/>
            <w:hideMark/>
          </w:tcPr>
          <w:p w14:paraId="7377E2A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593E585C"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84,1</w:t>
            </w:r>
          </w:p>
        </w:tc>
        <w:tc>
          <w:tcPr>
            <w:tcW w:w="960" w:type="dxa"/>
            <w:shd w:val="clear" w:color="auto" w:fill="auto"/>
            <w:noWrap/>
            <w:hideMark/>
          </w:tcPr>
          <w:p w14:paraId="47D0B6D6"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84,6</w:t>
            </w:r>
          </w:p>
        </w:tc>
      </w:tr>
      <w:tr w:rsidR="007E4099" w:rsidRPr="007E4099" w14:paraId="60FF2A9A" w14:textId="77777777" w:rsidTr="000D2136">
        <w:trPr>
          <w:trHeight w:val="290"/>
        </w:trPr>
        <w:tc>
          <w:tcPr>
            <w:tcW w:w="2280" w:type="dxa"/>
            <w:shd w:val="clear" w:color="auto" w:fill="auto"/>
            <w:noWrap/>
            <w:hideMark/>
          </w:tcPr>
          <w:p w14:paraId="6674233E"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Zachodnio-Pomorskie</w:t>
            </w:r>
            <w:proofErr w:type="spellEnd"/>
          </w:p>
        </w:tc>
        <w:tc>
          <w:tcPr>
            <w:tcW w:w="960" w:type="dxa"/>
            <w:shd w:val="clear" w:color="auto" w:fill="auto"/>
            <w:noWrap/>
            <w:hideMark/>
          </w:tcPr>
          <w:p w14:paraId="1078E688"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62,4</w:t>
            </w:r>
          </w:p>
        </w:tc>
        <w:tc>
          <w:tcPr>
            <w:tcW w:w="960" w:type="dxa"/>
            <w:shd w:val="clear" w:color="auto" w:fill="auto"/>
            <w:noWrap/>
            <w:hideMark/>
          </w:tcPr>
          <w:p w14:paraId="09309D31"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290B139B"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91,3</w:t>
            </w:r>
          </w:p>
        </w:tc>
        <w:tc>
          <w:tcPr>
            <w:tcW w:w="960" w:type="dxa"/>
            <w:shd w:val="clear" w:color="auto" w:fill="auto"/>
            <w:noWrap/>
            <w:hideMark/>
          </w:tcPr>
          <w:p w14:paraId="28FBDAA1"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91,1</w:t>
            </w:r>
          </w:p>
        </w:tc>
      </w:tr>
      <w:tr w:rsidR="007E4099" w:rsidRPr="007E4099" w14:paraId="618958F8" w14:textId="77777777" w:rsidTr="000D2136">
        <w:trPr>
          <w:trHeight w:val="290"/>
        </w:trPr>
        <w:tc>
          <w:tcPr>
            <w:tcW w:w="2280" w:type="dxa"/>
            <w:shd w:val="clear" w:color="auto" w:fill="auto"/>
            <w:noWrap/>
            <w:hideMark/>
          </w:tcPr>
          <w:p w14:paraId="3812472A"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Dolnośląskie</w:t>
            </w:r>
            <w:proofErr w:type="spellEnd"/>
          </w:p>
        </w:tc>
        <w:tc>
          <w:tcPr>
            <w:tcW w:w="960" w:type="dxa"/>
            <w:shd w:val="clear" w:color="auto" w:fill="auto"/>
            <w:noWrap/>
            <w:hideMark/>
          </w:tcPr>
          <w:p w14:paraId="3040DB58"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62,2</w:t>
            </w:r>
          </w:p>
        </w:tc>
        <w:tc>
          <w:tcPr>
            <w:tcW w:w="960" w:type="dxa"/>
            <w:shd w:val="clear" w:color="auto" w:fill="auto"/>
            <w:noWrap/>
            <w:hideMark/>
          </w:tcPr>
          <w:p w14:paraId="432B8494"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7789F1C9"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99,3</w:t>
            </w:r>
          </w:p>
        </w:tc>
        <w:tc>
          <w:tcPr>
            <w:tcW w:w="960" w:type="dxa"/>
            <w:shd w:val="clear" w:color="auto" w:fill="auto"/>
            <w:noWrap/>
            <w:hideMark/>
          </w:tcPr>
          <w:p w14:paraId="020DABED"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101</w:t>
            </w:r>
          </w:p>
        </w:tc>
      </w:tr>
      <w:tr w:rsidR="007E4099" w:rsidRPr="007E4099" w14:paraId="3C6D37E7" w14:textId="77777777" w:rsidTr="000D2136">
        <w:trPr>
          <w:trHeight w:val="290"/>
        </w:trPr>
        <w:tc>
          <w:tcPr>
            <w:tcW w:w="2280" w:type="dxa"/>
            <w:shd w:val="clear" w:color="auto" w:fill="auto"/>
            <w:noWrap/>
            <w:hideMark/>
          </w:tcPr>
          <w:p w14:paraId="6D2712F0"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Lubuskie</w:t>
            </w:r>
            <w:proofErr w:type="spellEnd"/>
          </w:p>
        </w:tc>
        <w:tc>
          <w:tcPr>
            <w:tcW w:w="960" w:type="dxa"/>
            <w:shd w:val="clear" w:color="auto" w:fill="auto"/>
            <w:noWrap/>
            <w:hideMark/>
          </w:tcPr>
          <w:p w14:paraId="0F0E60CD"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59,5</w:t>
            </w:r>
          </w:p>
        </w:tc>
        <w:tc>
          <w:tcPr>
            <w:tcW w:w="960" w:type="dxa"/>
            <w:shd w:val="clear" w:color="auto" w:fill="auto"/>
            <w:noWrap/>
            <w:hideMark/>
          </w:tcPr>
          <w:p w14:paraId="35A4434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79B509F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84,6</w:t>
            </w:r>
          </w:p>
        </w:tc>
        <w:tc>
          <w:tcPr>
            <w:tcW w:w="960" w:type="dxa"/>
            <w:shd w:val="clear" w:color="auto" w:fill="auto"/>
            <w:noWrap/>
            <w:hideMark/>
          </w:tcPr>
          <w:p w14:paraId="314B9A5A"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85,5</w:t>
            </w:r>
          </w:p>
        </w:tc>
      </w:tr>
      <w:tr w:rsidR="007E4099" w:rsidRPr="007E4099" w14:paraId="7C9CCB55" w14:textId="77777777" w:rsidTr="000D2136">
        <w:trPr>
          <w:trHeight w:val="290"/>
        </w:trPr>
        <w:tc>
          <w:tcPr>
            <w:tcW w:w="2280" w:type="dxa"/>
            <w:shd w:val="clear" w:color="auto" w:fill="auto"/>
            <w:noWrap/>
            <w:hideMark/>
          </w:tcPr>
          <w:p w14:paraId="45065E27"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Małopolskie</w:t>
            </w:r>
            <w:proofErr w:type="spellEnd"/>
          </w:p>
        </w:tc>
        <w:tc>
          <w:tcPr>
            <w:tcW w:w="960" w:type="dxa"/>
            <w:shd w:val="clear" w:color="auto" w:fill="auto"/>
            <w:noWrap/>
            <w:hideMark/>
          </w:tcPr>
          <w:p w14:paraId="2056D1B7"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56,2</w:t>
            </w:r>
          </w:p>
        </w:tc>
        <w:tc>
          <w:tcPr>
            <w:tcW w:w="960" w:type="dxa"/>
            <w:shd w:val="clear" w:color="auto" w:fill="auto"/>
            <w:noWrap/>
            <w:hideMark/>
          </w:tcPr>
          <w:p w14:paraId="3DB8214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5BE0E1A1"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92,7</w:t>
            </w:r>
          </w:p>
        </w:tc>
        <w:tc>
          <w:tcPr>
            <w:tcW w:w="960" w:type="dxa"/>
            <w:shd w:val="clear" w:color="auto" w:fill="auto"/>
            <w:noWrap/>
            <w:hideMark/>
          </w:tcPr>
          <w:p w14:paraId="5D3CB29B"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92,4</w:t>
            </w:r>
          </w:p>
        </w:tc>
      </w:tr>
      <w:tr w:rsidR="007E4099" w:rsidRPr="007E4099" w14:paraId="6EE723BF" w14:textId="77777777" w:rsidTr="000D2136">
        <w:trPr>
          <w:trHeight w:val="290"/>
        </w:trPr>
        <w:tc>
          <w:tcPr>
            <w:tcW w:w="2280" w:type="dxa"/>
            <w:shd w:val="clear" w:color="auto" w:fill="auto"/>
            <w:noWrap/>
            <w:hideMark/>
          </w:tcPr>
          <w:p w14:paraId="263172B8"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Pomorskie</w:t>
            </w:r>
            <w:proofErr w:type="spellEnd"/>
          </w:p>
        </w:tc>
        <w:tc>
          <w:tcPr>
            <w:tcW w:w="960" w:type="dxa"/>
            <w:shd w:val="clear" w:color="auto" w:fill="auto"/>
            <w:noWrap/>
            <w:hideMark/>
          </w:tcPr>
          <w:p w14:paraId="520AB39E"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58,6</w:t>
            </w:r>
          </w:p>
        </w:tc>
        <w:tc>
          <w:tcPr>
            <w:tcW w:w="960" w:type="dxa"/>
            <w:shd w:val="clear" w:color="auto" w:fill="auto"/>
            <w:noWrap/>
            <w:hideMark/>
          </w:tcPr>
          <w:p w14:paraId="7F9985C4"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3FADBA7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100,5</w:t>
            </w:r>
          </w:p>
        </w:tc>
        <w:tc>
          <w:tcPr>
            <w:tcW w:w="960" w:type="dxa"/>
            <w:shd w:val="clear" w:color="auto" w:fill="auto"/>
            <w:noWrap/>
            <w:hideMark/>
          </w:tcPr>
          <w:p w14:paraId="06D68634"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100,2</w:t>
            </w:r>
          </w:p>
        </w:tc>
      </w:tr>
      <w:tr w:rsidR="007E4099" w:rsidRPr="007E4099" w14:paraId="622416D0" w14:textId="77777777" w:rsidTr="000D2136">
        <w:trPr>
          <w:trHeight w:val="290"/>
        </w:trPr>
        <w:tc>
          <w:tcPr>
            <w:tcW w:w="2280" w:type="dxa"/>
            <w:shd w:val="clear" w:color="auto" w:fill="auto"/>
            <w:noWrap/>
            <w:hideMark/>
          </w:tcPr>
          <w:p w14:paraId="345352B2"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Lubelskie</w:t>
            </w:r>
            <w:proofErr w:type="spellEnd"/>
          </w:p>
        </w:tc>
        <w:tc>
          <w:tcPr>
            <w:tcW w:w="960" w:type="dxa"/>
            <w:shd w:val="clear" w:color="auto" w:fill="auto"/>
            <w:noWrap/>
            <w:hideMark/>
          </w:tcPr>
          <w:p w14:paraId="7B98375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51,6</w:t>
            </w:r>
          </w:p>
        </w:tc>
        <w:tc>
          <w:tcPr>
            <w:tcW w:w="960" w:type="dxa"/>
            <w:shd w:val="clear" w:color="auto" w:fill="auto"/>
            <w:noWrap/>
            <w:hideMark/>
          </w:tcPr>
          <w:p w14:paraId="198F61FE"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2CAF040C"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86,9</w:t>
            </w:r>
          </w:p>
        </w:tc>
        <w:tc>
          <w:tcPr>
            <w:tcW w:w="960" w:type="dxa"/>
            <w:shd w:val="clear" w:color="auto" w:fill="auto"/>
            <w:noWrap/>
            <w:hideMark/>
          </w:tcPr>
          <w:p w14:paraId="513B11BB"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90</w:t>
            </w:r>
          </w:p>
        </w:tc>
      </w:tr>
      <w:tr w:rsidR="007E4099" w:rsidRPr="007E4099" w14:paraId="63769C26" w14:textId="77777777" w:rsidTr="000D2136">
        <w:trPr>
          <w:trHeight w:val="290"/>
        </w:trPr>
        <w:tc>
          <w:tcPr>
            <w:tcW w:w="2280" w:type="dxa"/>
            <w:shd w:val="clear" w:color="auto" w:fill="auto"/>
            <w:noWrap/>
            <w:hideMark/>
          </w:tcPr>
          <w:p w14:paraId="1D8C0846"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Świętokrzyskie</w:t>
            </w:r>
            <w:proofErr w:type="spellEnd"/>
          </w:p>
        </w:tc>
        <w:tc>
          <w:tcPr>
            <w:tcW w:w="960" w:type="dxa"/>
            <w:shd w:val="clear" w:color="auto" w:fill="auto"/>
            <w:noWrap/>
            <w:hideMark/>
          </w:tcPr>
          <w:p w14:paraId="20262FB0"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50</w:t>
            </w:r>
          </w:p>
        </w:tc>
        <w:tc>
          <w:tcPr>
            <w:tcW w:w="960" w:type="dxa"/>
            <w:shd w:val="clear" w:color="auto" w:fill="auto"/>
            <w:noWrap/>
            <w:hideMark/>
          </w:tcPr>
          <w:p w14:paraId="740026A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44D721CB"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85,6</w:t>
            </w:r>
          </w:p>
        </w:tc>
        <w:tc>
          <w:tcPr>
            <w:tcW w:w="960" w:type="dxa"/>
            <w:shd w:val="clear" w:color="auto" w:fill="auto"/>
            <w:noWrap/>
            <w:hideMark/>
          </w:tcPr>
          <w:p w14:paraId="0C3835DA"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85,8</w:t>
            </w:r>
          </w:p>
        </w:tc>
      </w:tr>
      <w:tr w:rsidR="007E4099" w:rsidRPr="007E4099" w14:paraId="2FB118C9" w14:textId="77777777" w:rsidTr="000D2136">
        <w:trPr>
          <w:trHeight w:val="290"/>
        </w:trPr>
        <w:tc>
          <w:tcPr>
            <w:tcW w:w="2280" w:type="dxa"/>
            <w:shd w:val="clear" w:color="auto" w:fill="auto"/>
            <w:noWrap/>
            <w:hideMark/>
          </w:tcPr>
          <w:p w14:paraId="5851413C"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Wielkopolskie</w:t>
            </w:r>
            <w:proofErr w:type="spellEnd"/>
          </w:p>
        </w:tc>
        <w:tc>
          <w:tcPr>
            <w:tcW w:w="960" w:type="dxa"/>
            <w:shd w:val="clear" w:color="auto" w:fill="auto"/>
            <w:noWrap/>
            <w:hideMark/>
          </w:tcPr>
          <w:p w14:paraId="4040760F"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31</w:t>
            </w:r>
          </w:p>
        </w:tc>
        <w:tc>
          <w:tcPr>
            <w:tcW w:w="960" w:type="dxa"/>
            <w:shd w:val="clear" w:color="auto" w:fill="auto"/>
            <w:noWrap/>
            <w:hideMark/>
          </w:tcPr>
          <w:p w14:paraId="03FE006F"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426353C7"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90,6</w:t>
            </w:r>
          </w:p>
        </w:tc>
        <w:tc>
          <w:tcPr>
            <w:tcW w:w="960" w:type="dxa"/>
            <w:shd w:val="clear" w:color="auto" w:fill="auto"/>
            <w:noWrap/>
            <w:hideMark/>
          </w:tcPr>
          <w:p w14:paraId="7791CEA2"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89,8</w:t>
            </w:r>
          </w:p>
        </w:tc>
      </w:tr>
      <w:tr w:rsidR="007E4099" w:rsidRPr="007E4099" w14:paraId="13746584" w14:textId="77777777" w:rsidTr="000D2136">
        <w:trPr>
          <w:trHeight w:val="290"/>
        </w:trPr>
        <w:tc>
          <w:tcPr>
            <w:tcW w:w="2280" w:type="dxa"/>
            <w:shd w:val="clear" w:color="auto" w:fill="auto"/>
            <w:noWrap/>
            <w:hideMark/>
          </w:tcPr>
          <w:p w14:paraId="38109B48"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Łódzkie</w:t>
            </w:r>
            <w:proofErr w:type="spellEnd"/>
          </w:p>
        </w:tc>
        <w:tc>
          <w:tcPr>
            <w:tcW w:w="960" w:type="dxa"/>
            <w:shd w:val="clear" w:color="auto" w:fill="auto"/>
            <w:noWrap/>
            <w:hideMark/>
          </w:tcPr>
          <w:p w14:paraId="7021DED6"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29</w:t>
            </w:r>
          </w:p>
        </w:tc>
        <w:tc>
          <w:tcPr>
            <w:tcW w:w="960" w:type="dxa"/>
            <w:shd w:val="clear" w:color="auto" w:fill="auto"/>
            <w:noWrap/>
            <w:hideMark/>
          </w:tcPr>
          <w:p w14:paraId="5E6EB518"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5826559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86,8</w:t>
            </w:r>
          </w:p>
        </w:tc>
        <w:tc>
          <w:tcPr>
            <w:tcW w:w="960" w:type="dxa"/>
            <w:shd w:val="clear" w:color="auto" w:fill="auto"/>
            <w:noWrap/>
            <w:hideMark/>
          </w:tcPr>
          <w:p w14:paraId="51ADCBE8"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90,3</w:t>
            </w:r>
          </w:p>
        </w:tc>
      </w:tr>
      <w:tr w:rsidR="007E4099" w:rsidRPr="007E4099" w14:paraId="0F54B1C7" w14:textId="77777777" w:rsidTr="000D2136">
        <w:trPr>
          <w:trHeight w:val="290"/>
        </w:trPr>
        <w:tc>
          <w:tcPr>
            <w:tcW w:w="2280" w:type="dxa"/>
            <w:shd w:val="clear" w:color="auto" w:fill="auto"/>
            <w:noWrap/>
            <w:hideMark/>
          </w:tcPr>
          <w:p w14:paraId="73673172"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Mazowieckie</w:t>
            </w:r>
            <w:proofErr w:type="spellEnd"/>
          </w:p>
        </w:tc>
        <w:tc>
          <w:tcPr>
            <w:tcW w:w="960" w:type="dxa"/>
            <w:shd w:val="clear" w:color="auto" w:fill="auto"/>
            <w:noWrap/>
            <w:hideMark/>
          </w:tcPr>
          <w:p w14:paraId="58E0E0F7"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28</w:t>
            </w:r>
          </w:p>
        </w:tc>
        <w:tc>
          <w:tcPr>
            <w:tcW w:w="960" w:type="dxa"/>
            <w:shd w:val="clear" w:color="auto" w:fill="auto"/>
            <w:noWrap/>
            <w:hideMark/>
          </w:tcPr>
          <w:p w14:paraId="46235BFE"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558CE734"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128,2</w:t>
            </w:r>
          </w:p>
        </w:tc>
        <w:tc>
          <w:tcPr>
            <w:tcW w:w="960" w:type="dxa"/>
            <w:shd w:val="clear" w:color="auto" w:fill="auto"/>
            <w:noWrap/>
            <w:hideMark/>
          </w:tcPr>
          <w:p w14:paraId="198E9E1E"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123,1</w:t>
            </w:r>
          </w:p>
        </w:tc>
      </w:tr>
      <w:tr w:rsidR="007E4099" w:rsidRPr="007E4099" w14:paraId="0D3E5DFC" w14:textId="77777777" w:rsidTr="000D2136">
        <w:trPr>
          <w:trHeight w:val="290"/>
        </w:trPr>
        <w:tc>
          <w:tcPr>
            <w:tcW w:w="2280" w:type="dxa"/>
            <w:shd w:val="clear" w:color="auto" w:fill="auto"/>
            <w:noWrap/>
            <w:hideMark/>
          </w:tcPr>
          <w:p w14:paraId="3F34E0B5"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Śląskie</w:t>
            </w:r>
            <w:proofErr w:type="spellEnd"/>
          </w:p>
        </w:tc>
        <w:tc>
          <w:tcPr>
            <w:tcW w:w="960" w:type="dxa"/>
            <w:shd w:val="clear" w:color="auto" w:fill="auto"/>
            <w:noWrap/>
            <w:hideMark/>
          </w:tcPr>
          <w:p w14:paraId="6A9D492E"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49</w:t>
            </w:r>
          </w:p>
        </w:tc>
        <w:tc>
          <w:tcPr>
            <w:tcW w:w="960" w:type="dxa"/>
            <w:shd w:val="clear" w:color="auto" w:fill="auto"/>
            <w:noWrap/>
            <w:hideMark/>
          </w:tcPr>
          <w:p w14:paraId="2F0D6A37"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30B0872A"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103,5</w:t>
            </w:r>
          </w:p>
        </w:tc>
        <w:tc>
          <w:tcPr>
            <w:tcW w:w="960" w:type="dxa"/>
            <w:shd w:val="clear" w:color="auto" w:fill="auto"/>
            <w:noWrap/>
            <w:hideMark/>
          </w:tcPr>
          <w:p w14:paraId="7F3E1F29"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102,4</w:t>
            </w:r>
          </w:p>
        </w:tc>
      </w:tr>
      <w:tr w:rsidR="007E4099" w:rsidRPr="007E4099" w14:paraId="448B2DE9" w14:textId="77777777" w:rsidTr="000D2136">
        <w:trPr>
          <w:trHeight w:val="290"/>
        </w:trPr>
        <w:tc>
          <w:tcPr>
            <w:tcW w:w="2280" w:type="dxa"/>
            <w:shd w:val="clear" w:color="auto" w:fill="auto"/>
            <w:noWrap/>
            <w:hideMark/>
          </w:tcPr>
          <w:p w14:paraId="2CA84A37" w14:textId="77777777" w:rsidR="007E4099" w:rsidRPr="007E4099" w:rsidRDefault="007E4099" w:rsidP="007E4099">
            <w:pPr>
              <w:spacing w:after="0" w:line="360" w:lineRule="auto"/>
              <w:jc w:val="both"/>
              <w:rPr>
                <w:rFonts w:ascii="Times New Roman" w:hAnsi="Times New Roman"/>
                <w:sz w:val="24"/>
                <w:szCs w:val="24"/>
                <w:lang w:val="en-US"/>
              </w:rPr>
            </w:pPr>
            <w:proofErr w:type="spellStart"/>
            <w:r w:rsidRPr="007E4099">
              <w:rPr>
                <w:rFonts w:ascii="Times New Roman" w:hAnsi="Times New Roman"/>
                <w:sz w:val="24"/>
                <w:szCs w:val="24"/>
                <w:lang w:val="en-US"/>
              </w:rPr>
              <w:t>Kujawsko-Pomorskie</w:t>
            </w:r>
            <w:proofErr w:type="spellEnd"/>
          </w:p>
        </w:tc>
        <w:tc>
          <w:tcPr>
            <w:tcW w:w="960" w:type="dxa"/>
            <w:shd w:val="clear" w:color="auto" w:fill="auto"/>
            <w:noWrap/>
            <w:hideMark/>
          </w:tcPr>
          <w:p w14:paraId="4F33E643"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50,8</w:t>
            </w:r>
          </w:p>
        </w:tc>
        <w:tc>
          <w:tcPr>
            <w:tcW w:w="960" w:type="dxa"/>
            <w:shd w:val="clear" w:color="auto" w:fill="auto"/>
            <w:noWrap/>
            <w:hideMark/>
          </w:tcPr>
          <w:p w14:paraId="151580B8"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 </w:t>
            </w:r>
          </w:p>
        </w:tc>
        <w:tc>
          <w:tcPr>
            <w:tcW w:w="960" w:type="dxa"/>
            <w:shd w:val="clear" w:color="auto" w:fill="auto"/>
            <w:noWrap/>
            <w:hideMark/>
          </w:tcPr>
          <w:p w14:paraId="74F7C74A"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86</w:t>
            </w:r>
          </w:p>
        </w:tc>
        <w:tc>
          <w:tcPr>
            <w:tcW w:w="960" w:type="dxa"/>
            <w:shd w:val="clear" w:color="auto" w:fill="auto"/>
            <w:noWrap/>
            <w:hideMark/>
          </w:tcPr>
          <w:p w14:paraId="60A567C7" w14:textId="77777777" w:rsidR="007E4099" w:rsidRPr="007E4099" w:rsidRDefault="007E4099" w:rsidP="007E4099">
            <w:pPr>
              <w:spacing w:after="0" w:line="360" w:lineRule="auto"/>
              <w:jc w:val="both"/>
              <w:rPr>
                <w:rFonts w:ascii="Times New Roman" w:hAnsi="Times New Roman"/>
                <w:sz w:val="24"/>
                <w:szCs w:val="24"/>
                <w:lang w:val="en-US"/>
              </w:rPr>
            </w:pPr>
            <w:r w:rsidRPr="007E4099">
              <w:rPr>
                <w:rFonts w:ascii="Times New Roman" w:hAnsi="Times New Roman"/>
                <w:sz w:val="24"/>
                <w:szCs w:val="24"/>
                <w:lang w:val="en-US"/>
              </w:rPr>
              <w:t>86</w:t>
            </w:r>
          </w:p>
        </w:tc>
      </w:tr>
      <w:tr w:rsidR="007E4099" w:rsidRPr="007E4099" w14:paraId="10709FA2" w14:textId="77777777" w:rsidTr="000D2136">
        <w:trPr>
          <w:trHeight w:val="290"/>
        </w:trPr>
        <w:tc>
          <w:tcPr>
            <w:tcW w:w="4200" w:type="dxa"/>
            <w:gridSpan w:val="3"/>
            <w:shd w:val="clear" w:color="auto" w:fill="auto"/>
            <w:noWrap/>
            <w:hideMark/>
          </w:tcPr>
          <w:p w14:paraId="2A6D1DB6" w14:textId="05EB9EC4" w:rsidR="007E4099" w:rsidRPr="007E4099" w:rsidRDefault="007E4099" w:rsidP="007E4099">
            <w:pPr>
              <w:spacing w:after="0" w:line="360" w:lineRule="auto"/>
              <w:jc w:val="both"/>
              <w:rPr>
                <w:rFonts w:ascii="Times New Roman" w:hAnsi="Times New Roman"/>
                <w:sz w:val="24"/>
                <w:szCs w:val="24"/>
                <w:lang w:val="pl-PL"/>
              </w:rPr>
            </w:pPr>
            <w:r>
              <w:rPr>
                <w:rFonts w:ascii="Times New Roman" w:hAnsi="Times New Roman"/>
                <w:sz w:val="24"/>
                <w:szCs w:val="24"/>
                <w:lang w:val="pl-PL"/>
              </w:rPr>
              <w:t xml:space="preserve">*Per 1000 </w:t>
            </w:r>
            <w:proofErr w:type="spellStart"/>
            <w:r>
              <w:rPr>
                <w:rFonts w:ascii="Times New Roman" w:hAnsi="Times New Roman"/>
                <w:sz w:val="24"/>
                <w:szCs w:val="24"/>
                <w:lang w:val="pl-PL"/>
              </w:rPr>
              <w:t>citizens</w:t>
            </w:r>
            <w:proofErr w:type="spellEnd"/>
          </w:p>
        </w:tc>
        <w:tc>
          <w:tcPr>
            <w:tcW w:w="960" w:type="dxa"/>
            <w:shd w:val="clear" w:color="auto" w:fill="auto"/>
            <w:noWrap/>
            <w:hideMark/>
          </w:tcPr>
          <w:p w14:paraId="37198F55" w14:textId="77777777" w:rsidR="007E4099" w:rsidRPr="007E4099" w:rsidRDefault="007E4099" w:rsidP="007E4099">
            <w:pPr>
              <w:spacing w:after="0" w:line="360" w:lineRule="auto"/>
              <w:jc w:val="both"/>
              <w:rPr>
                <w:rFonts w:ascii="Times New Roman" w:hAnsi="Times New Roman"/>
                <w:b/>
                <w:sz w:val="24"/>
                <w:szCs w:val="24"/>
                <w:lang w:val="pl-PL"/>
              </w:rPr>
            </w:pPr>
          </w:p>
        </w:tc>
        <w:tc>
          <w:tcPr>
            <w:tcW w:w="960" w:type="dxa"/>
            <w:shd w:val="clear" w:color="auto" w:fill="auto"/>
            <w:noWrap/>
            <w:hideMark/>
          </w:tcPr>
          <w:p w14:paraId="6A9C7CE7" w14:textId="77777777" w:rsidR="007E4099" w:rsidRPr="007E4099" w:rsidRDefault="007E4099" w:rsidP="007E4099">
            <w:pPr>
              <w:spacing w:after="0" w:line="360" w:lineRule="auto"/>
              <w:jc w:val="both"/>
              <w:rPr>
                <w:rFonts w:ascii="Times New Roman" w:hAnsi="Times New Roman"/>
                <w:b/>
                <w:sz w:val="24"/>
                <w:szCs w:val="24"/>
                <w:lang w:val="pl-PL"/>
              </w:rPr>
            </w:pPr>
          </w:p>
        </w:tc>
      </w:tr>
      <w:tr w:rsidR="007E4099" w:rsidRPr="007E4099" w14:paraId="17CEBFCD" w14:textId="77777777" w:rsidTr="000D2136">
        <w:trPr>
          <w:trHeight w:val="290"/>
        </w:trPr>
        <w:tc>
          <w:tcPr>
            <w:tcW w:w="2280" w:type="dxa"/>
            <w:shd w:val="clear" w:color="auto" w:fill="auto"/>
            <w:noWrap/>
            <w:hideMark/>
          </w:tcPr>
          <w:p w14:paraId="4BA8CB0A" w14:textId="776CCA80" w:rsidR="007E4099" w:rsidRPr="007E4099" w:rsidRDefault="007E4099" w:rsidP="007E4099">
            <w:pPr>
              <w:spacing w:after="0" w:line="360" w:lineRule="auto"/>
              <w:jc w:val="both"/>
              <w:rPr>
                <w:rFonts w:ascii="Times New Roman" w:hAnsi="Times New Roman"/>
                <w:sz w:val="24"/>
                <w:szCs w:val="24"/>
                <w:lang w:val="en-US"/>
              </w:rPr>
            </w:pPr>
            <w:r>
              <w:rPr>
                <w:rFonts w:ascii="Times New Roman" w:hAnsi="Times New Roman"/>
                <w:sz w:val="24"/>
                <w:szCs w:val="24"/>
                <w:lang w:val="en-US"/>
              </w:rPr>
              <w:t>#National average</w:t>
            </w:r>
            <w:r w:rsidRPr="007E4099">
              <w:rPr>
                <w:rFonts w:ascii="Times New Roman" w:hAnsi="Times New Roman"/>
                <w:sz w:val="24"/>
                <w:szCs w:val="24"/>
                <w:lang w:val="en-US"/>
              </w:rPr>
              <w:t>=100</w:t>
            </w:r>
          </w:p>
        </w:tc>
        <w:tc>
          <w:tcPr>
            <w:tcW w:w="960" w:type="dxa"/>
            <w:shd w:val="clear" w:color="auto" w:fill="auto"/>
            <w:noWrap/>
            <w:hideMark/>
          </w:tcPr>
          <w:p w14:paraId="25821986" w14:textId="77777777" w:rsidR="007E4099" w:rsidRPr="007E4099" w:rsidRDefault="007E4099" w:rsidP="007E4099">
            <w:pPr>
              <w:spacing w:after="0" w:line="360" w:lineRule="auto"/>
              <w:jc w:val="both"/>
              <w:rPr>
                <w:rFonts w:ascii="Times New Roman" w:hAnsi="Times New Roman"/>
                <w:b/>
                <w:sz w:val="24"/>
                <w:szCs w:val="24"/>
                <w:lang w:val="en-US"/>
              </w:rPr>
            </w:pPr>
          </w:p>
        </w:tc>
        <w:tc>
          <w:tcPr>
            <w:tcW w:w="960" w:type="dxa"/>
            <w:shd w:val="clear" w:color="auto" w:fill="auto"/>
            <w:noWrap/>
            <w:hideMark/>
          </w:tcPr>
          <w:p w14:paraId="0B19E9D2" w14:textId="77777777" w:rsidR="007E4099" w:rsidRPr="007E4099" w:rsidRDefault="007E4099" w:rsidP="007E4099">
            <w:pPr>
              <w:spacing w:after="0" w:line="360" w:lineRule="auto"/>
              <w:jc w:val="both"/>
              <w:rPr>
                <w:rFonts w:ascii="Times New Roman" w:hAnsi="Times New Roman"/>
                <w:b/>
                <w:sz w:val="24"/>
                <w:szCs w:val="24"/>
                <w:lang w:val="en-US"/>
              </w:rPr>
            </w:pPr>
          </w:p>
        </w:tc>
        <w:tc>
          <w:tcPr>
            <w:tcW w:w="960" w:type="dxa"/>
            <w:shd w:val="clear" w:color="auto" w:fill="auto"/>
            <w:noWrap/>
            <w:hideMark/>
          </w:tcPr>
          <w:p w14:paraId="7C2BE358" w14:textId="77777777" w:rsidR="007E4099" w:rsidRPr="007E4099" w:rsidRDefault="007E4099" w:rsidP="007E4099">
            <w:pPr>
              <w:spacing w:after="0" w:line="360" w:lineRule="auto"/>
              <w:jc w:val="both"/>
              <w:rPr>
                <w:rFonts w:ascii="Times New Roman" w:hAnsi="Times New Roman"/>
                <w:b/>
                <w:sz w:val="24"/>
                <w:szCs w:val="24"/>
                <w:lang w:val="en-US"/>
              </w:rPr>
            </w:pPr>
          </w:p>
        </w:tc>
        <w:tc>
          <w:tcPr>
            <w:tcW w:w="960" w:type="dxa"/>
            <w:shd w:val="clear" w:color="auto" w:fill="auto"/>
            <w:noWrap/>
            <w:hideMark/>
          </w:tcPr>
          <w:p w14:paraId="3ABDA0CE" w14:textId="77777777" w:rsidR="007E4099" w:rsidRPr="007E4099" w:rsidRDefault="007E4099" w:rsidP="007E4099">
            <w:pPr>
              <w:spacing w:after="0" w:line="360" w:lineRule="auto"/>
              <w:jc w:val="both"/>
              <w:rPr>
                <w:rFonts w:ascii="Times New Roman" w:hAnsi="Times New Roman"/>
                <w:b/>
                <w:sz w:val="24"/>
                <w:szCs w:val="24"/>
                <w:lang w:val="en-US"/>
              </w:rPr>
            </w:pPr>
          </w:p>
        </w:tc>
      </w:tr>
    </w:tbl>
    <w:p w14:paraId="1F235044" w14:textId="20B2D71A" w:rsidR="007E4099" w:rsidRPr="007E4099" w:rsidRDefault="007E4099" w:rsidP="00AB05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 Author’s calculations based on </w:t>
      </w:r>
      <w:r w:rsidRPr="007E4099">
        <w:rPr>
          <w:rFonts w:ascii="Times New Roman" w:eastAsia="Times New Roman" w:hAnsi="Times New Roman" w:cs="Times New Roman"/>
          <w:sz w:val="24"/>
          <w:szCs w:val="24"/>
        </w:rPr>
        <w:t>Central Statistical Office of Poland (GUS) data</w:t>
      </w:r>
    </w:p>
    <w:p w14:paraId="06D9C6DA" w14:textId="77777777"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r>
    </w:p>
    <w:p w14:paraId="517DDBA8" w14:textId="2F3E0B73" w:rsidR="00916C90" w:rsidRPr="00AB56A1" w:rsidRDefault="00916C90"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 xml:space="preserve">Despite the fact that as many as 37% of emigrants declare that they regularly hand over a part money earned abroad to family staying in home country, the volume of these transfers at the level of such </w:t>
      </w:r>
      <w:r w:rsidR="005B4264">
        <w:rPr>
          <w:rFonts w:ascii="Times New Roman" w:hAnsi="Times New Roman"/>
          <w:sz w:val="24"/>
          <w:szCs w:val="24"/>
        </w:rPr>
        <w:t xml:space="preserve">a </w:t>
      </w:r>
      <w:r w:rsidRPr="00AB56A1">
        <w:rPr>
          <w:rFonts w:ascii="Times New Roman" w:hAnsi="Times New Roman"/>
          <w:sz w:val="24"/>
          <w:szCs w:val="24"/>
        </w:rPr>
        <w:t>country as Poland is relatively low. Between 2004 an</w:t>
      </w:r>
      <w:r w:rsidR="00F254D9" w:rsidRPr="00AB56A1">
        <w:rPr>
          <w:rFonts w:ascii="Times New Roman" w:hAnsi="Times New Roman"/>
          <w:sz w:val="24"/>
          <w:szCs w:val="24"/>
        </w:rPr>
        <w:t>d</w:t>
      </w:r>
      <w:r w:rsidRPr="00AB56A1">
        <w:rPr>
          <w:rFonts w:ascii="Times New Roman" w:hAnsi="Times New Roman"/>
          <w:sz w:val="24"/>
          <w:szCs w:val="24"/>
        </w:rPr>
        <w:t xml:space="preserve"> 2013, Polish people </w:t>
      </w:r>
      <w:r w:rsidRPr="00AB56A1">
        <w:rPr>
          <w:rFonts w:ascii="Times New Roman" w:hAnsi="Times New Roman"/>
          <w:sz w:val="24"/>
          <w:szCs w:val="24"/>
        </w:rPr>
        <w:lastRenderedPageBreak/>
        <w:t xml:space="preserve">working in other EU countries transferred EUR 36.1 in total, which seems to be a high amount, but we should remember that funds from the EU budget granted to Poland at the same time amounted to EUR 108 billion. In 2007, when the highest level of transfers from Polish people living in other EU countries was noted, Poland received funds constituting only 1.7% of the GDP. In subsequent years, this share decreased to 1.1% of the GDP in 2013. To some extent, it results from a transitional decrease in the number of Polish people living in other EU countries. After 2007, </w:t>
      </w:r>
      <w:r w:rsidR="00F254D9" w:rsidRPr="00AB56A1">
        <w:rPr>
          <w:rFonts w:ascii="Times New Roman" w:hAnsi="Times New Roman"/>
          <w:sz w:val="24"/>
          <w:szCs w:val="24"/>
        </w:rPr>
        <w:t>i.e.</w:t>
      </w:r>
      <w:r w:rsidRPr="00AB56A1">
        <w:rPr>
          <w:rFonts w:ascii="Times New Roman" w:hAnsi="Times New Roman"/>
          <w:sz w:val="24"/>
          <w:szCs w:val="24"/>
        </w:rPr>
        <w:t xml:space="preserve"> when Western Europe was affected by the financial crisis, the number of emigrants from Poland decreased from 2.3 million to about 2 million in 2011. Interestingly, despite the fact that in subsequent years the emigration intensified again and nowadays about 2</w:t>
      </w:r>
      <w:r w:rsidR="00205BDB" w:rsidRPr="00AB56A1">
        <w:rPr>
          <w:rFonts w:ascii="Times New Roman" w:hAnsi="Times New Roman"/>
          <w:sz w:val="24"/>
          <w:szCs w:val="24"/>
        </w:rPr>
        <w:t>.</w:t>
      </w:r>
      <w:r w:rsidRPr="00AB56A1">
        <w:rPr>
          <w:rFonts w:ascii="Times New Roman" w:hAnsi="Times New Roman"/>
          <w:sz w:val="24"/>
          <w:szCs w:val="24"/>
        </w:rPr>
        <w:t xml:space="preserve">3 million people have permanent residence abroad again (for more than 3 months) </w:t>
      </w:r>
      <w:r w:rsidRPr="00AB56A1">
        <w:rPr>
          <w:rFonts w:ascii="Times New Roman" w:eastAsia="Calibri" w:hAnsi="Times New Roman" w:cs="Times New Roman"/>
          <w:sz w:val="24"/>
          <w:szCs w:val="24"/>
          <w:vertAlign w:val="superscript"/>
        </w:rPr>
        <w:footnoteReference w:id="10"/>
      </w:r>
      <w:r w:rsidRPr="00AB56A1">
        <w:rPr>
          <w:rFonts w:ascii="Times New Roman" w:hAnsi="Times New Roman"/>
          <w:sz w:val="24"/>
          <w:szCs w:val="24"/>
        </w:rPr>
        <w:t>, the volume of transferred funds decreases. We can conclude that an increasing part of emigrants do not want to return to Poland, whole families move abroad, so the volume of transfers transferred to the countries decreases</w:t>
      </w:r>
      <w:r w:rsidR="005B4264">
        <w:rPr>
          <w:rFonts w:ascii="Times New Roman" w:hAnsi="Times New Roman"/>
          <w:sz w:val="24"/>
          <w:szCs w:val="24"/>
        </w:rPr>
        <w:t xml:space="preserve"> and</w:t>
      </w:r>
      <w:r w:rsidRPr="00AB56A1">
        <w:rPr>
          <w:rFonts w:ascii="Times New Roman" w:hAnsi="Times New Roman"/>
          <w:sz w:val="24"/>
          <w:szCs w:val="24"/>
        </w:rPr>
        <w:t>, therefore</w:t>
      </w:r>
      <w:r w:rsidR="005B4264">
        <w:rPr>
          <w:rFonts w:ascii="Times New Roman" w:hAnsi="Times New Roman"/>
          <w:sz w:val="24"/>
          <w:szCs w:val="24"/>
        </w:rPr>
        <w:t>,</w:t>
      </w:r>
      <w:r w:rsidRPr="00AB56A1">
        <w:rPr>
          <w:rFonts w:ascii="Times New Roman" w:hAnsi="Times New Roman"/>
          <w:sz w:val="24"/>
          <w:szCs w:val="24"/>
        </w:rPr>
        <w:t xml:space="preserve"> a relatively low inflow of these payments in income distribution will be decreasing even more in the future.</w:t>
      </w:r>
    </w:p>
    <w:p w14:paraId="6460A47B" w14:textId="77777777" w:rsidR="0025178C" w:rsidRPr="00AB56A1" w:rsidRDefault="0025178C" w:rsidP="00AB05A6">
      <w:pPr>
        <w:spacing w:after="0" w:line="360" w:lineRule="auto"/>
        <w:jc w:val="both"/>
        <w:rPr>
          <w:rFonts w:ascii="Times New Roman" w:eastAsia="Times New Roman" w:hAnsi="Times New Roman" w:cs="Times New Roman"/>
          <w:sz w:val="24"/>
          <w:szCs w:val="24"/>
        </w:rPr>
      </w:pPr>
    </w:p>
    <w:p w14:paraId="6A92E476" w14:textId="77777777" w:rsidR="00834E58" w:rsidRPr="00AB56A1" w:rsidRDefault="00834E58" w:rsidP="00AB05A6">
      <w:pPr>
        <w:spacing w:after="0" w:line="360" w:lineRule="auto"/>
        <w:jc w:val="both"/>
        <w:rPr>
          <w:rFonts w:ascii="Times New Roman" w:eastAsia="Times New Roman" w:hAnsi="Times New Roman" w:cs="Times New Roman"/>
          <w:b/>
          <w:sz w:val="24"/>
          <w:szCs w:val="24"/>
        </w:rPr>
      </w:pPr>
      <w:r w:rsidRPr="00AB56A1">
        <w:rPr>
          <w:rFonts w:ascii="Times New Roman" w:hAnsi="Times New Roman"/>
          <w:sz w:val="24"/>
          <w:szCs w:val="24"/>
        </w:rPr>
        <w:tab/>
      </w:r>
      <w:r w:rsidRPr="00AB56A1">
        <w:rPr>
          <w:rFonts w:ascii="Times New Roman" w:hAnsi="Times New Roman"/>
          <w:b/>
          <w:sz w:val="24"/>
          <w:szCs w:val="24"/>
        </w:rPr>
        <w:t xml:space="preserve">Table 17. Net migrations and Gini </w:t>
      </w:r>
      <w:r w:rsidR="00F254D9" w:rsidRPr="00AB56A1">
        <w:rPr>
          <w:rFonts w:ascii="Times New Roman" w:hAnsi="Times New Roman"/>
          <w:b/>
          <w:sz w:val="24"/>
          <w:szCs w:val="24"/>
        </w:rPr>
        <w:t>coefficient</w:t>
      </w:r>
      <w:r w:rsidRPr="00AB56A1">
        <w:rPr>
          <w:rFonts w:ascii="Times New Roman" w:hAnsi="Times New Roman"/>
          <w:b/>
          <w:sz w:val="24"/>
          <w:szCs w:val="24"/>
        </w:rPr>
        <w:t xml:space="preserve"> before transfers</w:t>
      </w:r>
    </w:p>
    <w:p w14:paraId="205384A5" w14:textId="77777777" w:rsidR="00AD2FAA" w:rsidRPr="00AB56A1" w:rsidRDefault="00AD2FAA" w:rsidP="00AB05A6">
      <w:pPr>
        <w:spacing w:after="0" w:line="360" w:lineRule="auto"/>
        <w:jc w:val="both"/>
        <w:rPr>
          <w:rFonts w:ascii="Times New Roman" w:eastAsia="Times New Roman" w:hAnsi="Times New Roman" w:cs="Times New Roman"/>
          <w:sz w:val="24"/>
          <w:szCs w:val="24"/>
        </w:rPr>
      </w:pPr>
      <w:r w:rsidRPr="00AB56A1">
        <w:rPr>
          <w:noProof/>
          <w:lang w:val="pl-PL" w:eastAsia="pl-PL"/>
        </w:rPr>
        <w:drawing>
          <wp:inline distT="0" distB="0" distL="0" distR="0" wp14:anchorId="4D2D6EB3" wp14:editId="62FCB3A6">
            <wp:extent cx="5760720" cy="1485439"/>
            <wp:effectExtent l="0" t="0" r="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1485439"/>
                    </a:xfrm>
                    <a:prstGeom prst="rect">
                      <a:avLst/>
                    </a:prstGeom>
                    <a:noFill/>
                    <a:ln>
                      <a:noFill/>
                    </a:ln>
                  </pic:spPr>
                </pic:pic>
              </a:graphicData>
            </a:graphic>
          </wp:inline>
        </w:drawing>
      </w:r>
    </w:p>
    <w:p w14:paraId="3F14787F" w14:textId="2CC6789D" w:rsidR="00041248" w:rsidRPr="00AB56A1" w:rsidRDefault="00041248"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 xml:space="preserve">Source: </w:t>
      </w:r>
      <w:r w:rsidR="000445BA">
        <w:rPr>
          <w:rFonts w:ascii="Times New Roman" w:hAnsi="Times New Roman"/>
          <w:sz w:val="24"/>
          <w:szCs w:val="24"/>
        </w:rPr>
        <w:t>Author’s</w:t>
      </w:r>
      <w:r w:rsidRPr="00AB56A1">
        <w:rPr>
          <w:rFonts w:ascii="Times New Roman" w:hAnsi="Times New Roman"/>
          <w:sz w:val="24"/>
          <w:szCs w:val="24"/>
        </w:rPr>
        <w:t xml:space="preserve"> calculations based on Eurostat data</w:t>
      </w:r>
    </w:p>
    <w:p w14:paraId="0F5F6FB7" w14:textId="77777777" w:rsidR="00280972" w:rsidRPr="00AB56A1" w:rsidRDefault="00280972" w:rsidP="00AB05A6">
      <w:pPr>
        <w:spacing w:after="0" w:line="360" w:lineRule="auto"/>
        <w:jc w:val="both"/>
        <w:rPr>
          <w:rFonts w:ascii="Times New Roman" w:eastAsia="Times New Roman" w:hAnsi="Times New Roman" w:cs="Times New Roman"/>
          <w:sz w:val="24"/>
          <w:szCs w:val="24"/>
        </w:rPr>
      </w:pPr>
    </w:p>
    <w:p w14:paraId="5B4D6F35" w14:textId="184C139E" w:rsidR="00280972" w:rsidRPr="00AB56A1" w:rsidRDefault="00280972"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For the above-presented comparison, we used the income distribution indicator that unlike the Gini coefficient for disposable income, does not take into account transfers that households receive from the public finance sector system, such as social allowances or social welfare, and most of all, retirement and disability pensions. The choice of such</w:t>
      </w:r>
      <w:r w:rsidR="005B4264">
        <w:rPr>
          <w:rFonts w:ascii="Times New Roman" w:hAnsi="Times New Roman"/>
          <w:sz w:val="24"/>
          <w:szCs w:val="24"/>
        </w:rPr>
        <w:t xml:space="preserve"> an</w:t>
      </w:r>
      <w:r w:rsidRPr="00AB56A1">
        <w:rPr>
          <w:rFonts w:ascii="Times New Roman" w:hAnsi="Times New Roman"/>
          <w:sz w:val="24"/>
          <w:szCs w:val="24"/>
        </w:rPr>
        <w:t xml:space="preserve"> indicator aimed to show the impact of migration on the labour market. Social transfers are received both by </w:t>
      </w:r>
      <w:r w:rsidR="00421CB0">
        <w:rPr>
          <w:rFonts w:ascii="Times New Roman" w:hAnsi="Times New Roman"/>
          <w:sz w:val="24"/>
          <w:szCs w:val="24"/>
        </w:rPr>
        <w:t xml:space="preserve">the </w:t>
      </w:r>
      <w:r w:rsidRPr="00AB56A1">
        <w:rPr>
          <w:rFonts w:ascii="Times New Roman" w:hAnsi="Times New Roman"/>
          <w:sz w:val="24"/>
          <w:szCs w:val="24"/>
        </w:rPr>
        <w:t xml:space="preserve">households of indigenous inhabitants of a specific country (the main item among transfers are retirement pensions) and immigrants who frequently benefit from welfare. </w:t>
      </w:r>
      <w:r w:rsidRPr="00AB56A1">
        <w:rPr>
          <w:rFonts w:ascii="Times New Roman" w:hAnsi="Times New Roman"/>
          <w:sz w:val="24"/>
          <w:szCs w:val="24"/>
        </w:rPr>
        <w:lastRenderedPageBreak/>
        <w:t>Therefore, social transfers decrease market income inequalities, both those counted only for the local population and for the whole community that also includes immigrants.</w:t>
      </w:r>
    </w:p>
    <w:p w14:paraId="44B03924" w14:textId="1CE26982" w:rsidR="00330F4C" w:rsidRPr="00AB56A1" w:rsidRDefault="00330F4C"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 xml:space="preserve">An overview of the comparison of market income distribution and population flow in EU countries confirm our earlier assumptions. In these countries that note an inflow of employees, the income inequalities on the market increase, which indicates that employees coming from abroad increase the labour supply and at the same time decrease the bargaining power of the employees, mainly in </w:t>
      </w:r>
      <w:r w:rsidR="00C10508">
        <w:rPr>
          <w:rFonts w:ascii="Times New Roman" w:hAnsi="Times New Roman"/>
          <w:sz w:val="24"/>
          <w:szCs w:val="24"/>
        </w:rPr>
        <w:t xml:space="preserve">the </w:t>
      </w:r>
      <w:r w:rsidRPr="00AB56A1">
        <w:rPr>
          <w:rFonts w:ascii="Times New Roman" w:hAnsi="Times New Roman"/>
          <w:sz w:val="24"/>
          <w:szCs w:val="24"/>
        </w:rPr>
        <w:t>lower parts of remuneration scale, i.e. in groups with low qualifications and incomes.</w:t>
      </w:r>
      <w:r w:rsidR="00205BDB" w:rsidRPr="00AB56A1">
        <w:rPr>
          <w:rFonts w:ascii="Times New Roman" w:hAnsi="Times New Roman"/>
          <w:sz w:val="24"/>
          <w:szCs w:val="24"/>
        </w:rPr>
        <w:t xml:space="preserve"> </w:t>
      </w:r>
      <w:r w:rsidRPr="00AB56A1">
        <w:rPr>
          <w:rFonts w:ascii="Times New Roman" w:hAnsi="Times New Roman"/>
          <w:sz w:val="24"/>
          <w:szCs w:val="24"/>
        </w:rPr>
        <w:t xml:space="preserve">The growth rate is different in particular countries: we can see clear disparities in Germany and Sweden, while in Spain, Italy, France and Great Britain, the growth is relatively low. An explanation of </w:t>
      </w:r>
      <w:r w:rsidR="00C10508">
        <w:rPr>
          <w:rFonts w:ascii="Times New Roman" w:hAnsi="Times New Roman"/>
          <w:sz w:val="24"/>
          <w:szCs w:val="24"/>
        </w:rPr>
        <w:t xml:space="preserve">the </w:t>
      </w:r>
      <w:r w:rsidRPr="00AB56A1">
        <w:rPr>
          <w:rFonts w:ascii="Times New Roman" w:hAnsi="Times New Roman"/>
          <w:sz w:val="24"/>
          <w:szCs w:val="24"/>
        </w:rPr>
        <w:t>differences between the above-mentioned countries require further research and</w:t>
      </w:r>
      <w:r w:rsidR="00C10508">
        <w:rPr>
          <w:rFonts w:ascii="Times New Roman" w:hAnsi="Times New Roman"/>
          <w:sz w:val="24"/>
          <w:szCs w:val="24"/>
        </w:rPr>
        <w:t>,</w:t>
      </w:r>
      <w:r w:rsidRPr="00AB56A1">
        <w:rPr>
          <w:rFonts w:ascii="Times New Roman" w:hAnsi="Times New Roman"/>
          <w:sz w:val="24"/>
          <w:szCs w:val="24"/>
        </w:rPr>
        <w:t xml:space="preserve"> without a doubt, it cannot be limited only to economic issues, since social and cultural factors, such as demographic structure (age, educational background, sex) of immigrants, the (formal and informal) openness of labour markets to foreign employees, the educational system or openness of local communities to cooperation with newcomers will be of great importance.</w:t>
      </w:r>
    </w:p>
    <w:p w14:paraId="378D01B4" w14:textId="77777777" w:rsidR="00726CEF" w:rsidRPr="00AB56A1" w:rsidRDefault="00FA463A"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On the other hand, in economies that note an outflow of employees, income inequalities on the market are decreasing (Lithuania is an exception here), which proves that a decrease in the workforce being a result of the emigration improves the bargaining power of workers with lower qualifications whose incomes rise faster that the national average salary and thereby the income inequalities decrease.</w:t>
      </w:r>
    </w:p>
    <w:p w14:paraId="3787383F" w14:textId="77777777" w:rsidR="00726CEF" w:rsidRPr="00AB56A1" w:rsidRDefault="00726CEF" w:rsidP="00AB05A6">
      <w:pPr>
        <w:spacing w:after="0" w:line="360" w:lineRule="auto"/>
        <w:jc w:val="both"/>
        <w:rPr>
          <w:rFonts w:ascii="Times New Roman" w:eastAsia="Times New Roman" w:hAnsi="Times New Roman" w:cs="Times New Roman"/>
          <w:sz w:val="24"/>
          <w:szCs w:val="24"/>
        </w:rPr>
      </w:pPr>
    </w:p>
    <w:p w14:paraId="5985AB44" w14:textId="77777777" w:rsidR="00726CEF" w:rsidRPr="00AB56A1" w:rsidRDefault="00726CEF" w:rsidP="00AB05A6">
      <w:pPr>
        <w:spacing w:after="0" w:line="360" w:lineRule="auto"/>
        <w:jc w:val="both"/>
        <w:rPr>
          <w:rFonts w:ascii="Times New Roman" w:eastAsia="Times New Roman" w:hAnsi="Times New Roman" w:cs="Times New Roman"/>
          <w:b/>
          <w:sz w:val="24"/>
          <w:szCs w:val="24"/>
        </w:rPr>
      </w:pPr>
      <w:r w:rsidRPr="00AB56A1">
        <w:rPr>
          <w:rFonts w:ascii="Times New Roman" w:hAnsi="Times New Roman"/>
          <w:sz w:val="24"/>
          <w:szCs w:val="24"/>
        </w:rPr>
        <w:tab/>
      </w:r>
      <w:r w:rsidRPr="00AB56A1">
        <w:rPr>
          <w:rFonts w:ascii="Times New Roman" w:hAnsi="Times New Roman"/>
          <w:b/>
          <w:sz w:val="24"/>
          <w:szCs w:val="24"/>
        </w:rPr>
        <w:t>Conclusion</w:t>
      </w:r>
    </w:p>
    <w:p w14:paraId="78083C7F" w14:textId="77777777" w:rsidR="00726CEF" w:rsidRPr="00AB56A1" w:rsidRDefault="00726CEF" w:rsidP="00AB05A6">
      <w:pPr>
        <w:spacing w:after="0" w:line="360" w:lineRule="auto"/>
        <w:jc w:val="both"/>
        <w:rPr>
          <w:rFonts w:ascii="Times New Roman" w:eastAsia="Times New Roman" w:hAnsi="Times New Roman" w:cs="Times New Roman"/>
          <w:sz w:val="24"/>
          <w:szCs w:val="24"/>
        </w:rPr>
      </w:pPr>
    </w:p>
    <w:p w14:paraId="6F05CA72" w14:textId="34F65D12" w:rsidR="00726CEF" w:rsidRPr="00AB56A1" w:rsidRDefault="00726CEF" w:rsidP="00AB05A6">
      <w:pPr>
        <w:spacing w:after="0" w:line="360" w:lineRule="auto"/>
        <w:jc w:val="both"/>
        <w:rPr>
          <w:rFonts w:ascii="Times New Roman" w:eastAsia="Times New Roman" w:hAnsi="Times New Roman" w:cs="Times New Roman"/>
          <w:sz w:val="24"/>
          <w:szCs w:val="24"/>
        </w:rPr>
      </w:pPr>
      <w:r w:rsidRPr="00AB56A1">
        <w:rPr>
          <w:rFonts w:ascii="Times New Roman" w:hAnsi="Times New Roman"/>
          <w:sz w:val="24"/>
          <w:szCs w:val="24"/>
        </w:rPr>
        <w:tab/>
        <w:t xml:space="preserve">The European integration is a historical process that has its political, social, cultural and economic dimensions. In </w:t>
      </w:r>
      <w:r w:rsidR="00C10508">
        <w:rPr>
          <w:rFonts w:ascii="Times New Roman" w:hAnsi="Times New Roman"/>
          <w:sz w:val="24"/>
          <w:szCs w:val="24"/>
        </w:rPr>
        <w:t>the present</w:t>
      </w:r>
      <w:r w:rsidR="00C10508" w:rsidRPr="00AB56A1">
        <w:rPr>
          <w:rFonts w:ascii="Times New Roman" w:hAnsi="Times New Roman"/>
          <w:sz w:val="24"/>
          <w:szCs w:val="24"/>
        </w:rPr>
        <w:t xml:space="preserve"> </w:t>
      </w:r>
      <w:r w:rsidRPr="00AB56A1">
        <w:rPr>
          <w:rFonts w:ascii="Times New Roman" w:hAnsi="Times New Roman"/>
          <w:sz w:val="24"/>
          <w:szCs w:val="24"/>
        </w:rPr>
        <w:t>paper, we indicated correlations that connect the progressing European integration with income distribution within the EU in different aspects. The analysis of the data and the occurring economic mechanisms allow us to draw some conclusions:</w:t>
      </w:r>
    </w:p>
    <w:p w14:paraId="4C34706C" w14:textId="6A5D41E5" w:rsidR="00726CEF" w:rsidRPr="00AB56A1" w:rsidRDefault="00726CEF"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in the EU treated as the entire economy, income inequalities are at a relatively low level compared to other areas of </w:t>
      </w:r>
      <w:r w:rsidR="00C10508">
        <w:rPr>
          <w:rFonts w:ascii="Times New Roman" w:hAnsi="Times New Roman"/>
          <w:sz w:val="24"/>
          <w:szCs w:val="24"/>
        </w:rPr>
        <w:t xml:space="preserve">the </w:t>
      </w:r>
      <w:r w:rsidRPr="00AB56A1">
        <w:rPr>
          <w:rFonts w:ascii="Times New Roman" w:hAnsi="Times New Roman"/>
          <w:sz w:val="24"/>
          <w:szCs w:val="24"/>
        </w:rPr>
        <w:t>global economy,</w:t>
      </w:r>
    </w:p>
    <w:p w14:paraId="12C9C690" w14:textId="0FF04A7D" w:rsidR="00726CEF" w:rsidRPr="00AB56A1" w:rsidRDefault="00726CEF"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the level of income inequalities within the EU has been surprisingly stable over the last years, despite fundamental changes in EU economies, such as </w:t>
      </w:r>
      <w:r w:rsidR="00C10508">
        <w:rPr>
          <w:rFonts w:ascii="Times New Roman" w:hAnsi="Times New Roman"/>
          <w:sz w:val="24"/>
          <w:szCs w:val="24"/>
        </w:rPr>
        <w:t xml:space="preserve">the </w:t>
      </w:r>
      <w:r w:rsidRPr="00AB56A1">
        <w:rPr>
          <w:rFonts w:ascii="Times New Roman" w:hAnsi="Times New Roman"/>
          <w:sz w:val="24"/>
          <w:szCs w:val="24"/>
        </w:rPr>
        <w:t>financial crisis or accession of new members,</w:t>
      </w:r>
    </w:p>
    <w:p w14:paraId="61D3484B" w14:textId="77777777" w:rsidR="00242A7A" w:rsidRPr="00AB56A1" w:rsidRDefault="00726CEF"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lastRenderedPageBreak/>
        <w:t>convergences of income levels between EU countries could be observed until the outbreak of the financial crisis,</w:t>
      </w:r>
    </w:p>
    <w:p w14:paraId="0189581E" w14:textId="5A00A776" w:rsidR="00242A7A" w:rsidRPr="00AB56A1" w:rsidRDefault="00242A7A"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different wage dynamics in countries using one common currency has led to </w:t>
      </w:r>
      <w:r w:rsidR="00C10508">
        <w:rPr>
          <w:rFonts w:ascii="Times New Roman" w:hAnsi="Times New Roman"/>
          <w:sz w:val="24"/>
          <w:szCs w:val="24"/>
        </w:rPr>
        <w:t xml:space="preserve">the </w:t>
      </w:r>
      <w:r w:rsidRPr="00AB56A1">
        <w:rPr>
          <w:rFonts w:ascii="Times New Roman" w:hAnsi="Times New Roman"/>
          <w:sz w:val="24"/>
          <w:szCs w:val="24"/>
        </w:rPr>
        <w:t xml:space="preserve">creation of deep inequalities in balances of payments, which in the end has led to a deep adjustment, that is to say the crisis that had </w:t>
      </w:r>
      <w:r w:rsidR="00C10508">
        <w:rPr>
          <w:rFonts w:ascii="Times New Roman" w:hAnsi="Times New Roman"/>
          <w:sz w:val="24"/>
          <w:szCs w:val="24"/>
        </w:rPr>
        <w:t xml:space="preserve">a </w:t>
      </w:r>
      <w:r w:rsidRPr="00AB56A1">
        <w:rPr>
          <w:rFonts w:ascii="Times New Roman" w:hAnsi="Times New Roman"/>
          <w:sz w:val="24"/>
          <w:szCs w:val="24"/>
        </w:rPr>
        <w:t>place between 2008</w:t>
      </w:r>
      <w:r w:rsidR="00C10508">
        <w:rPr>
          <w:rFonts w:ascii="Times New Roman" w:hAnsi="Times New Roman"/>
          <w:sz w:val="24"/>
          <w:szCs w:val="24"/>
        </w:rPr>
        <w:t xml:space="preserve"> and </w:t>
      </w:r>
      <w:r w:rsidRPr="00AB56A1">
        <w:rPr>
          <w:rFonts w:ascii="Times New Roman" w:hAnsi="Times New Roman"/>
          <w:sz w:val="24"/>
          <w:szCs w:val="24"/>
        </w:rPr>
        <w:t>2010,</w:t>
      </w:r>
    </w:p>
    <w:p w14:paraId="0D061579" w14:textId="662539C6" w:rsidR="00352C1C" w:rsidRPr="00AB56A1" w:rsidRDefault="00242A7A"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the course of </w:t>
      </w:r>
      <w:r w:rsidR="00C10508">
        <w:rPr>
          <w:rFonts w:ascii="Times New Roman" w:hAnsi="Times New Roman"/>
          <w:sz w:val="24"/>
          <w:szCs w:val="24"/>
        </w:rPr>
        <w:t xml:space="preserve">the </w:t>
      </w:r>
      <w:r w:rsidRPr="00AB56A1">
        <w:rPr>
          <w:rFonts w:ascii="Times New Roman" w:hAnsi="Times New Roman"/>
          <w:sz w:val="24"/>
          <w:szCs w:val="24"/>
        </w:rPr>
        <w:t xml:space="preserve">financial crisis has shown that EU economies are able to </w:t>
      </w:r>
      <w:r w:rsidR="00C10508">
        <w:rPr>
          <w:rFonts w:ascii="Times New Roman" w:hAnsi="Times New Roman"/>
          <w:sz w:val="24"/>
          <w:szCs w:val="24"/>
        </w:rPr>
        <w:t xml:space="preserve">make </w:t>
      </w:r>
      <w:r w:rsidRPr="00AB56A1">
        <w:rPr>
          <w:rFonts w:ascii="Times New Roman" w:hAnsi="Times New Roman"/>
          <w:sz w:val="24"/>
          <w:szCs w:val="24"/>
        </w:rPr>
        <w:t xml:space="preserve">automatic adjustments. Processes occurring on the labour market have shown that </w:t>
      </w:r>
      <w:r w:rsidR="00C10508">
        <w:rPr>
          <w:rFonts w:ascii="Times New Roman" w:hAnsi="Times New Roman"/>
          <w:sz w:val="24"/>
          <w:szCs w:val="24"/>
        </w:rPr>
        <w:t xml:space="preserve">the </w:t>
      </w:r>
      <w:r w:rsidRPr="00AB56A1">
        <w:rPr>
          <w:rFonts w:ascii="Times New Roman" w:hAnsi="Times New Roman"/>
          <w:sz w:val="24"/>
          <w:szCs w:val="24"/>
        </w:rPr>
        <w:t xml:space="preserve">flexibility of EU economies is higher than we thought before. A wage decrease in Southern Europe has been gradually improved by </w:t>
      </w:r>
      <w:r w:rsidR="00C10508">
        <w:rPr>
          <w:rFonts w:ascii="Times New Roman" w:hAnsi="Times New Roman"/>
          <w:sz w:val="24"/>
          <w:szCs w:val="24"/>
        </w:rPr>
        <w:t xml:space="preserve">the </w:t>
      </w:r>
      <w:r w:rsidRPr="00AB56A1">
        <w:rPr>
          <w:rFonts w:ascii="Times New Roman" w:hAnsi="Times New Roman"/>
          <w:sz w:val="24"/>
          <w:szCs w:val="24"/>
        </w:rPr>
        <w:t xml:space="preserve">competitiveness of local economies, which is visible in return to the economic growth in Portugal </w:t>
      </w:r>
      <w:r w:rsidR="00C10508">
        <w:rPr>
          <w:rFonts w:ascii="Times New Roman" w:hAnsi="Times New Roman"/>
          <w:sz w:val="24"/>
          <w:szCs w:val="24"/>
        </w:rPr>
        <w:t>and</w:t>
      </w:r>
      <w:r w:rsidRPr="00AB56A1">
        <w:rPr>
          <w:rFonts w:ascii="Times New Roman" w:hAnsi="Times New Roman"/>
          <w:sz w:val="24"/>
          <w:szCs w:val="24"/>
        </w:rPr>
        <w:t xml:space="preserve"> Spain, while the flow of </w:t>
      </w:r>
      <w:r w:rsidR="00C10508">
        <w:rPr>
          <w:rFonts w:ascii="Times New Roman" w:hAnsi="Times New Roman"/>
          <w:sz w:val="24"/>
          <w:szCs w:val="24"/>
        </w:rPr>
        <w:t xml:space="preserve">the </w:t>
      </w:r>
      <w:r w:rsidRPr="00AB56A1">
        <w:rPr>
          <w:rFonts w:ascii="Times New Roman" w:hAnsi="Times New Roman"/>
          <w:sz w:val="24"/>
          <w:szCs w:val="24"/>
        </w:rPr>
        <w:t>workforce between EU count</w:t>
      </w:r>
      <w:r w:rsidR="00C10508">
        <w:rPr>
          <w:rFonts w:ascii="Times New Roman" w:hAnsi="Times New Roman"/>
          <w:sz w:val="24"/>
          <w:szCs w:val="24"/>
        </w:rPr>
        <w:t>r</w:t>
      </w:r>
      <w:r w:rsidRPr="00AB56A1">
        <w:rPr>
          <w:rFonts w:ascii="Times New Roman" w:hAnsi="Times New Roman"/>
          <w:sz w:val="24"/>
          <w:szCs w:val="24"/>
        </w:rPr>
        <w:t>ies is cushioned by asymmetric shocks in the European economy,</w:t>
      </w:r>
    </w:p>
    <w:p w14:paraId="3D727AA1" w14:textId="5C9CC8F2" w:rsidR="00FA463A" w:rsidRPr="00AB56A1" w:rsidRDefault="00352C1C"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the accession of new members to the EU, i.e. post-socialist countries with </w:t>
      </w:r>
      <w:r w:rsidR="00C10508">
        <w:rPr>
          <w:rFonts w:ascii="Times New Roman" w:hAnsi="Times New Roman"/>
          <w:sz w:val="24"/>
          <w:szCs w:val="24"/>
        </w:rPr>
        <w:t xml:space="preserve">a </w:t>
      </w:r>
      <w:r w:rsidRPr="00AB56A1">
        <w:rPr>
          <w:rFonts w:ascii="Times New Roman" w:hAnsi="Times New Roman"/>
          <w:sz w:val="24"/>
          <w:szCs w:val="24"/>
        </w:rPr>
        <w:t xml:space="preserve">much lower development level than the so-called ‘old EU’ does not result in bigger tensions for </w:t>
      </w:r>
      <w:r w:rsidR="00C10508">
        <w:rPr>
          <w:rFonts w:ascii="Times New Roman" w:hAnsi="Times New Roman"/>
          <w:sz w:val="24"/>
          <w:szCs w:val="24"/>
        </w:rPr>
        <w:t xml:space="preserve">the </w:t>
      </w:r>
      <w:r w:rsidRPr="00AB56A1">
        <w:rPr>
          <w:rFonts w:ascii="Times New Roman" w:hAnsi="Times New Roman"/>
          <w:sz w:val="24"/>
          <w:szCs w:val="24"/>
        </w:rPr>
        <w:t>economy of the entire EU,</w:t>
      </w:r>
    </w:p>
    <w:p w14:paraId="6BD75641" w14:textId="6F85F975" w:rsidR="00352C1C" w:rsidRPr="00AB56A1" w:rsidRDefault="00352C1C"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the accession to the EU is an important factor of </w:t>
      </w:r>
      <w:r w:rsidR="00C10508">
        <w:rPr>
          <w:rFonts w:ascii="Times New Roman" w:hAnsi="Times New Roman"/>
          <w:sz w:val="24"/>
          <w:szCs w:val="24"/>
        </w:rPr>
        <w:t xml:space="preserve">the </w:t>
      </w:r>
      <w:r w:rsidRPr="00AB56A1">
        <w:rPr>
          <w:rFonts w:ascii="Times New Roman" w:hAnsi="Times New Roman"/>
          <w:sz w:val="24"/>
          <w:szCs w:val="24"/>
        </w:rPr>
        <w:t>convergence of income levels between EU member states,</w:t>
      </w:r>
    </w:p>
    <w:p w14:paraId="3F14E304" w14:textId="3D264DF3" w:rsidR="00352C1C" w:rsidRPr="00AB56A1" w:rsidRDefault="00352C1C" w:rsidP="00AB05A6">
      <w:pPr>
        <w:pStyle w:val="Akapitzlist"/>
        <w:numPr>
          <w:ilvl w:val="0"/>
          <w:numId w:val="16"/>
        </w:numPr>
        <w:spacing w:after="0" w:line="360" w:lineRule="auto"/>
        <w:ind w:left="0" w:firstLine="360"/>
        <w:jc w:val="both"/>
        <w:rPr>
          <w:rFonts w:ascii="Times New Roman" w:eastAsia="Times New Roman" w:hAnsi="Times New Roman" w:cs="Times New Roman"/>
          <w:sz w:val="24"/>
          <w:szCs w:val="24"/>
        </w:rPr>
      </w:pPr>
      <w:r w:rsidRPr="00AB56A1">
        <w:rPr>
          <w:rFonts w:ascii="Times New Roman" w:hAnsi="Times New Roman"/>
          <w:sz w:val="24"/>
          <w:szCs w:val="24"/>
        </w:rPr>
        <w:t xml:space="preserve">the European labour markets are subject to market rules despite </w:t>
      </w:r>
      <w:r w:rsidR="00C10508">
        <w:rPr>
          <w:rFonts w:ascii="Times New Roman" w:hAnsi="Times New Roman"/>
          <w:sz w:val="24"/>
          <w:szCs w:val="24"/>
        </w:rPr>
        <w:t>the</w:t>
      </w:r>
      <w:r w:rsidR="00C10508" w:rsidRPr="00AB56A1">
        <w:rPr>
          <w:rFonts w:ascii="Times New Roman" w:hAnsi="Times New Roman"/>
          <w:sz w:val="24"/>
          <w:szCs w:val="24"/>
        </w:rPr>
        <w:t xml:space="preserve"> </w:t>
      </w:r>
      <w:r w:rsidRPr="00AB56A1">
        <w:rPr>
          <w:rFonts w:ascii="Times New Roman" w:hAnsi="Times New Roman"/>
          <w:sz w:val="24"/>
          <w:szCs w:val="24"/>
        </w:rPr>
        <w:t>many social and political emotions associated with migrations.</w:t>
      </w:r>
    </w:p>
    <w:p w14:paraId="1F55DD68" w14:textId="673A5CF5" w:rsidR="00352C1C" w:rsidRDefault="00352C1C" w:rsidP="00AB05A6">
      <w:pPr>
        <w:spacing w:after="0" w:line="360" w:lineRule="auto"/>
        <w:jc w:val="both"/>
        <w:rPr>
          <w:rFonts w:ascii="Times New Roman" w:hAnsi="Times New Roman"/>
          <w:sz w:val="24"/>
          <w:szCs w:val="24"/>
        </w:rPr>
      </w:pPr>
      <w:r w:rsidRPr="00AB56A1">
        <w:rPr>
          <w:rFonts w:ascii="Times New Roman" w:hAnsi="Times New Roman"/>
          <w:sz w:val="24"/>
          <w:szCs w:val="24"/>
        </w:rPr>
        <w:tab/>
        <w:t xml:space="preserve">To sum up, the European integration in its economic immigration is relatively far reaching. The social cohesion does not seem to be endangered, </w:t>
      </w:r>
      <w:r w:rsidR="00C10508">
        <w:rPr>
          <w:rFonts w:ascii="Times New Roman" w:hAnsi="Times New Roman"/>
          <w:sz w:val="24"/>
          <w:szCs w:val="24"/>
        </w:rPr>
        <w:t>but</w:t>
      </w:r>
      <w:r w:rsidRPr="00AB56A1">
        <w:rPr>
          <w:rFonts w:ascii="Times New Roman" w:hAnsi="Times New Roman"/>
          <w:sz w:val="24"/>
          <w:szCs w:val="24"/>
        </w:rPr>
        <w:t xml:space="preserve"> we can point out some disturbing phenomena, such as </w:t>
      </w:r>
      <w:r w:rsidR="00C10508">
        <w:rPr>
          <w:rFonts w:ascii="Times New Roman" w:hAnsi="Times New Roman"/>
          <w:sz w:val="24"/>
          <w:szCs w:val="24"/>
        </w:rPr>
        <w:t xml:space="preserve">the </w:t>
      </w:r>
      <w:r w:rsidRPr="00AB56A1">
        <w:rPr>
          <w:rFonts w:ascii="Times New Roman" w:hAnsi="Times New Roman"/>
          <w:sz w:val="24"/>
          <w:szCs w:val="24"/>
        </w:rPr>
        <w:t xml:space="preserve">very high unemployment rates persisting in Spain and Greece </w:t>
      </w:r>
      <w:r w:rsidR="00C10508">
        <w:rPr>
          <w:rFonts w:ascii="Times New Roman" w:hAnsi="Times New Roman"/>
          <w:sz w:val="24"/>
          <w:szCs w:val="24"/>
        </w:rPr>
        <w:t>and the</w:t>
      </w:r>
      <w:r w:rsidR="00C10508" w:rsidRPr="00AB56A1">
        <w:rPr>
          <w:rFonts w:ascii="Times New Roman" w:hAnsi="Times New Roman"/>
          <w:sz w:val="24"/>
          <w:szCs w:val="24"/>
        </w:rPr>
        <w:t xml:space="preserve"> </w:t>
      </w:r>
      <w:r w:rsidRPr="00AB56A1">
        <w:rPr>
          <w:rFonts w:ascii="Times New Roman" w:hAnsi="Times New Roman"/>
          <w:sz w:val="24"/>
          <w:szCs w:val="24"/>
        </w:rPr>
        <w:t>massive outflows of people from Lithuania and Latvia. The most important conclusion</w:t>
      </w:r>
      <w:r w:rsidR="00C10508">
        <w:rPr>
          <w:rFonts w:ascii="Times New Roman" w:hAnsi="Times New Roman"/>
          <w:sz w:val="24"/>
          <w:szCs w:val="24"/>
        </w:rPr>
        <w:t>,</w:t>
      </w:r>
      <w:r w:rsidRPr="00AB56A1">
        <w:rPr>
          <w:rFonts w:ascii="Times New Roman" w:hAnsi="Times New Roman"/>
          <w:sz w:val="24"/>
          <w:szCs w:val="24"/>
        </w:rPr>
        <w:t xml:space="preserve"> however</w:t>
      </w:r>
      <w:r w:rsidR="00C10508">
        <w:rPr>
          <w:rFonts w:ascii="Times New Roman" w:hAnsi="Times New Roman"/>
          <w:sz w:val="24"/>
          <w:szCs w:val="24"/>
        </w:rPr>
        <w:t>,</w:t>
      </w:r>
      <w:r w:rsidRPr="00AB56A1">
        <w:rPr>
          <w:rFonts w:ascii="Times New Roman" w:hAnsi="Times New Roman"/>
          <w:sz w:val="24"/>
          <w:szCs w:val="24"/>
        </w:rPr>
        <w:t xml:space="preserve"> is that the labour market in the EU is relatively flexible and</w:t>
      </w:r>
      <w:r w:rsidR="00C10508">
        <w:rPr>
          <w:rFonts w:ascii="Times New Roman" w:hAnsi="Times New Roman"/>
          <w:sz w:val="24"/>
          <w:szCs w:val="24"/>
        </w:rPr>
        <w:t>,</w:t>
      </w:r>
      <w:r w:rsidRPr="00AB56A1">
        <w:rPr>
          <w:rFonts w:ascii="Times New Roman" w:hAnsi="Times New Roman"/>
          <w:sz w:val="24"/>
          <w:szCs w:val="24"/>
        </w:rPr>
        <w:t xml:space="preserve"> therefore</w:t>
      </w:r>
      <w:r w:rsidR="00C10508">
        <w:rPr>
          <w:rFonts w:ascii="Times New Roman" w:hAnsi="Times New Roman"/>
          <w:sz w:val="24"/>
          <w:szCs w:val="24"/>
        </w:rPr>
        <w:t>,</w:t>
      </w:r>
      <w:r w:rsidRPr="00AB56A1">
        <w:rPr>
          <w:rFonts w:ascii="Times New Roman" w:hAnsi="Times New Roman"/>
          <w:sz w:val="24"/>
          <w:szCs w:val="24"/>
        </w:rPr>
        <w:t xml:space="preserve"> it demonstrates </w:t>
      </w:r>
      <w:r w:rsidR="00C10508">
        <w:rPr>
          <w:rFonts w:ascii="Times New Roman" w:hAnsi="Times New Roman"/>
          <w:sz w:val="24"/>
          <w:szCs w:val="24"/>
        </w:rPr>
        <w:t xml:space="preserve">a </w:t>
      </w:r>
      <w:r w:rsidRPr="00AB56A1">
        <w:rPr>
          <w:rFonts w:ascii="Times New Roman" w:hAnsi="Times New Roman"/>
          <w:sz w:val="24"/>
          <w:szCs w:val="24"/>
        </w:rPr>
        <w:t xml:space="preserve">capacity to absorb economic shocks, so we can hope for </w:t>
      </w:r>
      <w:r w:rsidR="00C10508">
        <w:rPr>
          <w:rFonts w:ascii="Times New Roman" w:hAnsi="Times New Roman"/>
          <w:sz w:val="24"/>
          <w:szCs w:val="24"/>
        </w:rPr>
        <w:t xml:space="preserve">the </w:t>
      </w:r>
      <w:r w:rsidRPr="00AB56A1">
        <w:rPr>
          <w:rFonts w:ascii="Times New Roman" w:hAnsi="Times New Roman"/>
          <w:sz w:val="24"/>
          <w:szCs w:val="24"/>
        </w:rPr>
        <w:t>relatively harmonious social and economic development of the European Community.</w:t>
      </w:r>
    </w:p>
    <w:p w14:paraId="450D0D8D" w14:textId="20CDBF4E" w:rsidR="005D7D49" w:rsidRDefault="005D7D49" w:rsidP="00AB05A6">
      <w:pPr>
        <w:spacing w:after="0" w:line="360" w:lineRule="auto"/>
        <w:jc w:val="both"/>
        <w:rPr>
          <w:rFonts w:ascii="Times New Roman" w:hAnsi="Times New Roman"/>
          <w:sz w:val="24"/>
          <w:szCs w:val="24"/>
        </w:rPr>
      </w:pPr>
    </w:p>
    <w:p w14:paraId="1030C817" w14:textId="30C0D339" w:rsidR="005D7D49" w:rsidRPr="005D7D49" w:rsidRDefault="005D7D49" w:rsidP="00AB05A6">
      <w:pPr>
        <w:spacing w:after="0" w:line="360" w:lineRule="auto"/>
        <w:jc w:val="both"/>
        <w:rPr>
          <w:rFonts w:ascii="Times New Roman" w:hAnsi="Times New Roman"/>
          <w:b/>
          <w:sz w:val="24"/>
          <w:szCs w:val="24"/>
        </w:rPr>
      </w:pPr>
      <w:r>
        <w:rPr>
          <w:rFonts w:ascii="Times New Roman" w:hAnsi="Times New Roman"/>
          <w:sz w:val="24"/>
          <w:szCs w:val="24"/>
        </w:rPr>
        <w:tab/>
      </w:r>
      <w:r w:rsidRPr="005D7D49">
        <w:rPr>
          <w:rFonts w:ascii="Times New Roman" w:hAnsi="Times New Roman"/>
          <w:b/>
          <w:sz w:val="24"/>
          <w:szCs w:val="24"/>
        </w:rPr>
        <w:t xml:space="preserve">References: </w:t>
      </w:r>
    </w:p>
    <w:p w14:paraId="70740074" w14:textId="77777777" w:rsidR="005D7D49" w:rsidRDefault="005D7D49" w:rsidP="00AB05A6">
      <w:pPr>
        <w:spacing w:after="0" w:line="360" w:lineRule="auto"/>
        <w:jc w:val="both"/>
        <w:rPr>
          <w:rFonts w:ascii="Times New Roman" w:hAnsi="Times New Roman"/>
          <w:sz w:val="24"/>
          <w:szCs w:val="24"/>
        </w:rPr>
      </w:pPr>
    </w:p>
    <w:p w14:paraId="0118D892"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Atoyan</w:t>
      </w:r>
      <w:proofErr w:type="spellEnd"/>
      <w:r w:rsidRPr="005D7D49">
        <w:rPr>
          <w:rFonts w:ascii="Times New Roman" w:hAnsi="Times New Roman"/>
          <w:sz w:val="24"/>
          <w:szCs w:val="24"/>
          <w:lang w:val="en-AU"/>
        </w:rPr>
        <w:t xml:space="preserve"> R., et al., 2016, </w:t>
      </w:r>
      <w:r w:rsidRPr="005D7D49">
        <w:rPr>
          <w:rFonts w:ascii="Times New Roman" w:hAnsi="Times New Roman"/>
          <w:bCs/>
          <w:sz w:val="24"/>
          <w:szCs w:val="24"/>
          <w:lang w:val="en-AU"/>
        </w:rPr>
        <w:t>Emigration and Its Economic Impact on Eastern Europe, IMF Staff Discussion Note, SDN/16/07</w:t>
      </w:r>
    </w:p>
    <w:p w14:paraId="313907DF"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Brandolini</w:t>
      </w:r>
      <w:proofErr w:type="spellEnd"/>
      <w:r w:rsidRPr="005D7D49">
        <w:rPr>
          <w:rFonts w:ascii="Times New Roman" w:hAnsi="Times New Roman"/>
          <w:sz w:val="24"/>
          <w:szCs w:val="24"/>
          <w:lang w:val="en-AU"/>
        </w:rPr>
        <w:t xml:space="preserve"> A, 2007, Measurement of income distribution in supranational entities: The case of the European Union, Bank of Italy Working Paper 623/2007</w:t>
      </w:r>
    </w:p>
    <w:p w14:paraId="73EFBDA4" w14:textId="77777777" w:rsidR="005D7D49" w:rsidRPr="005D7D49" w:rsidRDefault="005D7D49" w:rsidP="005D7D49">
      <w:pPr>
        <w:spacing w:after="0" w:line="360" w:lineRule="auto"/>
        <w:jc w:val="both"/>
        <w:rPr>
          <w:rFonts w:ascii="Times New Roman" w:hAnsi="Times New Roman"/>
          <w:bCs/>
          <w:sz w:val="24"/>
          <w:szCs w:val="24"/>
          <w:lang w:val="pl-PL"/>
        </w:rPr>
      </w:pPr>
      <w:r w:rsidRPr="005D7D49">
        <w:rPr>
          <w:rFonts w:ascii="Times New Roman" w:hAnsi="Times New Roman"/>
          <w:sz w:val="24"/>
          <w:szCs w:val="24"/>
          <w:lang w:val="pl-PL"/>
        </w:rPr>
        <w:lastRenderedPageBreak/>
        <w:t xml:space="preserve">Chmielewska I., 2015, </w:t>
      </w:r>
      <w:r w:rsidRPr="005D7D49">
        <w:rPr>
          <w:rFonts w:ascii="Times New Roman" w:hAnsi="Times New Roman"/>
          <w:bCs/>
          <w:sz w:val="24"/>
          <w:szCs w:val="24"/>
          <w:lang w:val="pl-PL"/>
        </w:rPr>
        <w:t>Transfery z tytułu pracy Polaków za granicą w świetle badań Narodowego Banku Polskiego, Materiały i Studia NBP nr 314</w:t>
      </w:r>
    </w:p>
    <w:p w14:paraId="4F4B3ACB" w14:textId="77777777" w:rsidR="005D7D49" w:rsidRPr="005D7D49" w:rsidRDefault="005D7D49" w:rsidP="005D7D49">
      <w:pPr>
        <w:spacing w:after="0" w:line="360" w:lineRule="auto"/>
        <w:jc w:val="both"/>
        <w:rPr>
          <w:rFonts w:ascii="Times New Roman" w:hAnsi="Times New Roman"/>
          <w:bCs/>
          <w:sz w:val="24"/>
          <w:szCs w:val="24"/>
          <w:lang w:val="pl-PL"/>
        </w:rPr>
      </w:pPr>
      <w:r w:rsidRPr="005D7D49">
        <w:rPr>
          <w:rFonts w:ascii="Times New Roman" w:hAnsi="Times New Roman"/>
          <w:bCs/>
          <w:sz w:val="24"/>
          <w:szCs w:val="24"/>
          <w:lang w:val="pl-PL"/>
        </w:rPr>
        <w:t>Cieślik J., 2014, Przedsiębiorczość, polityka, rozwój, Wydawnictwo Akademickie Sedno, Warszawa</w:t>
      </w:r>
    </w:p>
    <w:p w14:paraId="141B69DF" w14:textId="77777777" w:rsidR="005D7D49" w:rsidRPr="005D7D49" w:rsidRDefault="005D7D49" w:rsidP="005D7D49">
      <w:pPr>
        <w:spacing w:after="0" w:line="360" w:lineRule="auto"/>
        <w:jc w:val="both"/>
        <w:rPr>
          <w:rFonts w:ascii="Times New Roman" w:hAnsi="Times New Roman"/>
          <w:iCs/>
          <w:sz w:val="24"/>
          <w:szCs w:val="24"/>
          <w:lang w:val="en-AU"/>
        </w:rPr>
      </w:pPr>
      <w:r w:rsidRPr="005D7D49">
        <w:rPr>
          <w:rFonts w:ascii="Times New Roman" w:hAnsi="Times New Roman"/>
          <w:iCs/>
          <w:sz w:val="24"/>
          <w:szCs w:val="24"/>
          <w:lang w:val="en-AU"/>
        </w:rPr>
        <w:t xml:space="preserve">Dao M., </w:t>
      </w:r>
      <w:proofErr w:type="spellStart"/>
      <w:r w:rsidRPr="005D7D49">
        <w:rPr>
          <w:rFonts w:ascii="Times New Roman" w:hAnsi="Times New Roman"/>
          <w:iCs/>
          <w:sz w:val="24"/>
          <w:szCs w:val="24"/>
          <w:lang w:val="en-AU"/>
        </w:rPr>
        <w:t>Furceri</w:t>
      </w:r>
      <w:proofErr w:type="spellEnd"/>
      <w:r w:rsidRPr="005D7D49">
        <w:rPr>
          <w:rFonts w:ascii="Times New Roman" w:hAnsi="Times New Roman"/>
          <w:iCs/>
          <w:sz w:val="24"/>
          <w:szCs w:val="24"/>
          <w:lang w:val="en-AU"/>
        </w:rPr>
        <w:t xml:space="preserve"> D., </w:t>
      </w:r>
      <w:proofErr w:type="spellStart"/>
      <w:r w:rsidRPr="005D7D49">
        <w:rPr>
          <w:rFonts w:ascii="Times New Roman" w:hAnsi="Times New Roman"/>
          <w:iCs/>
          <w:sz w:val="24"/>
          <w:szCs w:val="24"/>
          <w:lang w:val="en-AU"/>
        </w:rPr>
        <w:t>Loungani</w:t>
      </w:r>
      <w:proofErr w:type="spellEnd"/>
      <w:r w:rsidRPr="005D7D49">
        <w:rPr>
          <w:rFonts w:ascii="Times New Roman" w:hAnsi="Times New Roman"/>
          <w:iCs/>
          <w:sz w:val="24"/>
          <w:szCs w:val="24"/>
          <w:lang w:val="en-AU"/>
        </w:rPr>
        <w:t xml:space="preserve"> P., 2014, Regional </w:t>
      </w:r>
      <w:proofErr w:type="spellStart"/>
      <w:r w:rsidRPr="005D7D49">
        <w:rPr>
          <w:rFonts w:ascii="Times New Roman" w:hAnsi="Times New Roman"/>
          <w:iCs/>
          <w:sz w:val="24"/>
          <w:szCs w:val="24"/>
          <w:lang w:val="en-AU"/>
        </w:rPr>
        <w:t>Labor</w:t>
      </w:r>
      <w:proofErr w:type="spellEnd"/>
      <w:r w:rsidRPr="005D7D49">
        <w:rPr>
          <w:rFonts w:ascii="Times New Roman" w:hAnsi="Times New Roman"/>
          <w:iCs/>
          <w:sz w:val="24"/>
          <w:szCs w:val="24"/>
          <w:lang w:val="en-AU"/>
        </w:rPr>
        <w:t xml:space="preserve"> Market Adjustments in the United States and Europe, IMF Working Paper WP/14/26</w:t>
      </w:r>
    </w:p>
    <w:p w14:paraId="7AB9479B"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Decressin</w:t>
      </w:r>
      <w:proofErr w:type="spellEnd"/>
      <w:r w:rsidRPr="005D7D49">
        <w:rPr>
          <w:rFonts w:ascii="Times New Roman" w:hAnsi="Times New Roman"/>
          <w:sz w:val="24"/>
          <w:szCs w:val="24"/>
          <w:lang w:val="en-AU"/>
        </w:rPr>
        <w:t xml:space="preserve"> J., et al, 2012,  Wage Moderation in Crises: Policy Considerations and Applications to the Euro Area, IMF Staff Discussion Note, SDN/15/22</w:t>
      </w:r>
    </w:p>
    <w:p w14:paraId="30FCFCF8" w14:textId="77777777" w:rsidR="005D7D49" w:rsidRPr="005D7D49" w:rsidRDefault="005D7D49" w:rsidP="005D7D49">
      <w:pPr>
        <w:spacing w:after="0" w:line="360" w:lineRule="auto"/>
        <w:jc w:val="both"/>
        <w:rPr>
          <w:rFonts w:ascii="Times New Roman" w:hAnsi="Times New Roman"/>
          <w:bCs/>
          <w:iCs/>
          <w:sz w:val="24"/>
          <w:szCs w:val="24"/>
          <w:lang w:val="en-AU"/>
        </w:rPr>
      </w:pPr>
      <w:proofErr w:type="spellStart"/>
      <w:r w:rsidRPr="005D7D49">
        <w:rPr>
          <w:rFonts w:ascii="Times New Roman" w:hAnsi="Times New Roman"/>
          <w:sz w:val="24"/>
          <w:szCs w:val="24"/>
          <w:lang w:val="en-AU"/>
        </w:rPr>
        <w:t>Dustmann</w:t>
      </w:r>
      <w:proofErr w:type="spellEnd"/>
      <w:r w:rsidRPr="005D7D49">
        <w:rPr>
          <w:rFonts w:ascii="Times New Roman" w:hAnsi="Times New Roman"/>
          <w:sz w:val="24"/>
          <w:szCs w:val="24"/>
          <w:lang w:val="en-AU"/>
        </w:rPr>
        <w:t xml:space="preserve"> C., </w:t>
      </w:r>
      <w:proofErr w:type="spellStart"/>
      <w:r w:rsidRPr="005D7D49">
        <w:rPr>
          <w:rFonts w:ascii="Times New Roman" w:hAnsi="Times New Roman"/>
          <w:sz w:val="24"/>
          <w:szCs w:val="24"/>
          <w:lang w:val="en-AU"/>
        </w:rPr>
        <w:t>Fitzenberger</w:t>
      </w:r>
      <w:proofErr w:type="spellEnd"/>
      <w:r w:rsidRPr="005D7D49">
        <w:rPr>
          <w:rFonts w:ascii="Times New Roman" w:hAnsi="Times New Roman"/>
          <w:sz w:val="24"/>
          <w:szCs w:val="24"/>
          <w:lang w:val="en-AU"/>
        </w:rPr>
        <w:t xml:space="preserve"> B., </w:t>
      </w:r>
      <w:proofErr w:type="spellStart"/>
      <w:r w:rsidRPr="005D7D49">
        <w:rPr>
          <w:rFonts w:ascii="Times New Roman" w:hAnsi="Times New Roman"/>
          <w:sz w:val="24"/>
          <w:szCs w:val="24"/>
          <w:lang w:val="en-AU"/>
        </w:rPr>
        <w:t>Schönberg</w:t>
      </w:r>
      <w:proofErr w:type="spellEnd"/>
      <w:r w:rsidRPr="005D7D49">
        <w:rPr>
          <w:rFonts w:ascii="Times New Roman" w:hAnsi="Times New Roman"/>
          <w:sz w:val="24"/>
          <w:szCs w:val="24"/>
          <w:lang w:val="en-AU"/>
        </w:rPr>
        <w:t xml:space="preserve"> U., Spitz-</w:t>
      </w:r>
      <w:proofErr w:type="spellStart"/>
      <w:r w:rsidRPr="005D7D49">
        <w:rPr>
          <w:rFonts w:ascii="Times New Roman" w:hAnsi="Times New Roman"/>
          <w:sz w:val="24"/>
          <w:szCs w:val="24"/>
          <w:lang w:val="en-AU"/>
        </w:rPr>
        <w:t>Oener</w:t>
      </w:r>
      <w:proofErr w:type="spellEnd"/>
      <w:r w:rsidRPr="005D7D49">
        <w:rPr>
          <w:rFonts w:ascii="Times New Roman" w:hAnsi="Times New Roman"/>
          <w:sz w:val="24"/>
          <w:szCs w:val="24"/>
          <w:lang w:val="en-AU"/>
        </w:rPr>
        <w:t xml:space="preserve"> A., 2014, </w:t>
      </w:r>
      <w:r w:rsidRPr="005D7D49">
        <w:rPr>
          <w:rFonts w:ascii="Times New Roman" w:hAnsi="Times New Roman"/>
          <w:bCs/>
          <w:sz w:val="24"/>
          <w:szCs w:val="24"/>
          <w:lang w:val="en-AU"/>
        </w:rPr>
        <w:t xml:space="preserve">From Sick Man of Europe to Economic Superstar: Germany’s Resurgent Economy, </w:t>
      </w:r>
      <w:r w:rsidRPr="005D7D49">
        <w:rPr>
          <w:rFonts w:ascii="Times New Roman" w:hAnsi="Times New Roman"/>
          <w:bCs/>
          <w:iCs/>
          <w:sz w:val="24"/>
          <w:szCs w:val="24"/>
          <w:lang w:val="en-AU"/>
        </w:rPr>
        <w:t>Journal of Economic Perspectives—Volume 28, Number 1—Winter 2014</w:t>
      </w:r>
    </w:p>
    <w:p w14:paraId="74819314"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bCs/>
          <w:iCs/>
          <w:sz w:val="24"/>
          <w:szCs w:val="24"/>
          <w:lang w:val="en-AU"/>
        </w:rPr>
        <w:t>Darvas</w:t>
      </w:r>
      <w:proofErr w:type="spellEnd"/>
      <w:r w:rsidRPr="005D7D49">
        <w:rPr>
          <w:rFonts w:ascii="Times New Roman" w:hAnsi="Times New Roman"/>
          <w:bCs/>
          <w:iCs/>
          <w:sz w:val="24"/>
          <w:szCs w:val="24"/>
          <w:lang w:val="en-AU"/>
        </w:rPr>
        <w:t xml:space="preserve"> Z., 2019, </w:t>
      </w:r>
      <w:r w:rsidRPr="005D7D49">
        <w:rPr>
          <w:rFonts w:ascii="Times New Roman" w:hAnsi="Times New Roman"/>
          <w:bCs/>
          <w:iCs/>
          <w:sz w:val="24"/>
          <w:szCs w:val="24"/>
          <w:lang w:val="pl-PL"/>
        </w:rPr>
        <w:t xml:space="preserve">EU </w:t>
      </w:r>
      <w:proofErr w:type="spellStart"/>
      <w:r w:rsidRPr="005D7D49">
        <w:rPr>
          <w:rFonts w:ascii="Times New Roman" w:hAnsi="Times New Roman"/>
          <w:bCs/>
          <w:iCs/>
          <w:sz w:val="24"/>
          <w:szCs w:val="24"/>
          <w:lang w:val="pl-PL"/>
        </w:rPr>
        <w:t>enlargement</w:t>
      </w:r>
      <w:proofErr w:type="spellEnd"/>
      <w:r w:rsidRPr="005D7D49">
        <w:rPr>
          <w:rFonts w:ascii="Times New Roman" w:hAnsi="Times New Roman"/>
          <w:bCs/>
          <w:iCs/>
          <w:sz w:val="24"/>
          <w:szCs w:val="24"/>
          <w:lang w:val="pl-PL"/>
        </w:rPr>
        <w:t xml:space="preserve"> 15th </w:t>
      </w:r>
      <w:proofErr w:type="spellStart"/>
      <w:r w:rsidRPr="005D7D49">
        <w:rPr>
          <w:rFonts w:ascii="Times New Roman" w:hAnsi="Times New Roman"/>
          <w:bCs/>
          <w:iCs/>
          <w:sz w:val="24"/>
          <w:szCs w:val="24"/>
          <w:lang w:val="pl-PL"/>
        </w:rPr>
        <w:t>anniversary</w:t>
      </w:r>
      <w:proofErr w:type="spellEnd"/>
      <w:r w:rsidRPr="005D7D49">
        <w:rPr>
          <w:rFonts w:ascii="Times New Roman" w:hAnsi="Times New Roman"/>
          <w:bCs/>
          <w:iCs/>
          <w:sz w:val="24"/>
          <w:szCs w:val="24"/>
          <w:lang w:val="pl-PL"/>
        </w:rPr>
        <w:t xml:space="preserve">: </w:t>
      </w:r>
      <w:proofErr w:type="spellStart"/>
      <w:r w:rsidRPr="005D7D49">
        <w:rPr>
          <w:rFonts w:ascii="Times New Roman" w:hAnsi="Times New Roman"/>
          <w:bCs/>
          <w:iCs/>
          <w:sz w:val="24"/>
          <w:szCs w:val="24"/>
          <w:lang w:val="pl-PL"/>
        </w:rPr>
        <w:t>Upward</w:t>
      </w:r>
      <w:proofErr w:type="spellEnd"/>
      <w:r w:rsidRPr="005D7D49">
        <w:rPr>
          <w:rFonts w:ascii="Times New Roman" w:hAnsi="Times New Roman"/>
          <w:bCs/>
          <w:iCs/>
          <w:sz w:val="24"/>
          <w:szCs w:val="24"/>
          <w:lang w:val="pl-PL"/>
        </w:rPr>
        <w:t xml:space="preserve"> </w:t>
      </w:r>
      <w:proofErr w:type="spellStart"/>
      <w:r w:rsidRPr="005D7D49">
        <w:rPr>
          <w:rFonts w:ascii="Times New Roman" w:hAnsi="Times New Roman"/>
          <w:bCs/>
          <w:iCs/>
          <w:sz w:val="24"/>
          <w:szCs w:val="24"/>
          <w:lang w:val="pl-PL"/>
        </w:rPr>
        <w:t>steps</w:t>
      </w:r>
      <w:proofErr w:type="spellEnd"/>
      <w:r w:rsidRPr="005D7D49">
        <w:rPr>
          <w:rFonts w:ascii="Times New Roman" w:hAnsi="Times New Roman"/>
          <w:bCs/>
          <w:iCs/>
          <w:sz w:val="24"/>
          <w:szCs w:val="24"/>
          <w:lang w:val="pl-PL"/>
        </w:rPr>
        <w:t xml:space="preserve"> on the </w:t>
      </w:r>
      <w:proofErr w:type="spellStart"/>
      <w:r w:rsidRPr="005D7D49">
        <w:rPr>
          <w:rFonts w:ascii="Times New Roman" w:hAnsi="Times New Roman"/>
          <w:bCs/>
          <w:iCs/>
          <w:sz w:val="24"/>
          <w:szCs w:val="24"/>
          <w:lang w:val="pl-PL"/>
        </w:rPr>
        <w:t>income</w:t>
      </w:r>
      <w:proofErr w:type="spellEnd"/>
      <w:r w:rsidRPr="005D7D49">
        <w:rPr>
          <w:rFonts w:ascii="Times New Roman" w:hAnsi="Times New Roman"/>
          <w:bCs/>
          <w:iCs/>
          <w:sz w:val="24"/>
          <w:szCs w:val="24"/>
          <w:lang w:val="pl-PL"/>
        </w:rPr>
        <w:t xml:space="preserve"> lader, blog post on </w:t>
      </w:r>
      <w:proofErr w:type="spellStart"/>
      <w:r w:rsidRPr="005D7D49">
        <w:rPr>
          <w:rFonts w:ascii="Times New Roman" w:hAnsi="Times New Roman"/>
          <w:bCs/>
          <w:iCs/>
          <w:sz w:val="24"/>
          <w:szCs w:val="24"/>
          <w:lang w:val="pl-PL"/>
        </w:rPr>
        <w:t>Breugel</w:t>
      </w:r>
      <w:proofErr w:type="spellEnd"/>
      <w:r w:rsidRPr="005D7D49">
        <w:rPr>
          <w:rFonts w:ascii="Times New Roman" w:hAnsi="Times New Roman"/>
          <w:bCs/>
          <w:iCs/>
          <w:sz w:val="24"/>
          <w:szCs w:val="24"/>
          <w:lang w:val="pl-PL"/>
        </w:rPr>
        <w:t xml:space="preserve"> </w:t>
      </w:r>
      <w:proofErr w:type="spellStart"/>
      <w:r w:rsidRPr="005D7D49">
        <w:rPr>
          <w:rFonts w:ascii="Times New Roman" w:hAnsi="Times New Roman"/>
          <w:bCs/>
          <w:iCs/>
          <w:sz w:val="24"/>
          <w:szCs w:val="24"/>
          <w:lang w:val="pl-PL"/>
        </w:rPr>
        <w:t>Institute</w:t>
      </w:r>
      <w:proofErr w:type="spellEnd"/>
      <w:r w:rsidRPr="005D7D49">
        <w:rPr>
          <w:rFonts w:ascii="Times New Roman" w:hAnsi="Times New Roman"/>
          <w:bCs/>
          <w:iCs/>
          <w:sz w:val="24"/>
          <w:szCs w:val="24"/>
          <w:lang w:val="pl-PL"/>
        </w:rPr>
        <w:t xml:space="preserve"> </w:t>
      </w:r>
      <w:proofErr w:type="spellStart"/>
      <w:r w:rsidRPr="005D7D49">
        <w:rPr>
          <w:rFonts w:ascii="Times New Roman" w:hAnsi="Times New Roman"/>
          <w:bCs/>
          <w:iCs/>
          <w:sz w:val="24"/>
          <w:szCs w:val="24"/>
          <w:lang w:val="pl-PL"/>
        </w:rPr>
        <w:t>website</w:t>
      </w:r>
      <w:proofErr w:type="spellEnd"/>
    </w:p>
    <w:p w14:paraId="29F45011" w14:textId="77777777" w:rsidR="005D7D49" w:rsidRPr="005D7D49" w:rsidRDefault="005D7D49" w:rsidP="005D7D49">
      <w:pPr>
        <w:spacing w:after="0" w:line="360" w:lineRule="auto"/>
        <w:jc w:val="both"/>
        <w:rPr>
          <w:rFonts w:ascii="Times New Roman" w:hAnsi="Times New Roman"/>
          <w:sz w:val="24"/>
          <w:szCs w:val="24"/>
          <w:lang w:val="en-AU"/>
        </w:rPr>
      </w:pPr>
      <w:r w:rsidRPr="005D7D49">
        <w:rPr>
          <w:rFonts w:ascii="Times New Roman" w:hAnsi="Times New Roman"/>
          <w:sz w:val="24"/>
          <w:szCs w:val="24"/>
          <w:lang w:val="en-AU"/>
        </w:rPr>
        <w:t>European Commission, 2008,  EMU@10: successes and challenges after 10 years of Economic and Monetary Union, European Commission</w:t>
      </w:r>
    </w:p>
    <w:p w14:paraId="1CB061F0"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Fredriksen</w:t>
      </w:r>
      <w:proofErr w:type="spellEnd"/>
      <w:r w:rsidRPr="005D7D49">
        <w:rPr>
          <w:rFonts w:ascii="Times New Roman" w:hAnsi="Times New Roman"/>
          <w:sz w:val="24"/>
          <w:szCs w:val="24"/>
          <w:lang w:val="en-AU"/>
        </w:rPr>
        <w:t xml:space="preserve"> B., K., 2012, Income Inequality in the European Union, </w:t>
      </w:r>
      <w:r w:rsidRPr="005D7D49">
        <w:rPr>
          <w:rFonts w:ascii="Times New Roman" w:hAnsi="Times New Roman"/>
          <w:iCs/>
          <w:sz w:val="24"/>
          <w:szCs w:val="24"/>
          <w:lang w:val="en-AU"/>
        </w:rPr>
        <w:t>OECD Economics Department Working Papers</w:t>
      </w:r>
      <w:r w:rsidRPr="005D7D49">
        <w:rPr>
          <w:rFonts w:ascii="Times New Roman" w:hAnsi="Times New Roman"/>
          <w:sz w:val="24"/>
          <w:szCs w:val="24"/>
          <w:lang w:val="en-AU"/>
        </w:rPr>
        <w:t>, No. 952,</w:t>
      </w:r>
    </w:p>
    <w:p w14:paraId="35A9EBC9"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Gali</w:t>
      </w:r>
      <w:proofErr w:type="spellEnd"/>
      <w:r w:rsidRPr="005D7D49">
        <w:rPr>
          <w:rFonts w:ascii="Times New Roman" w:hAnsi="Times New Roman"/>
          <w:sz w:val="24"/>
          <w:szCs w:val="24"/>
          <w:lang w:val="en-AU"/>
        </w:rPr>
        <w:t xml:space="preserve"> J., 2015, Hysteresis and the European Unemployment Problem Revisited, NBER Working Paper No. 21430</w:t>
      </w:r>
    </w:p>
    <w:p w14:paraId="52C74F51"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Gilpin</w:t>
      </w:r>
      <w:proofErr w:type="spellEnd"/>
      <w:r w:rsidRPr="005D7D49">
        <w:rPr>
          <w:rFonts w:ascii="Times New Roman" w:hAnsi="Times New Roman"/>
          <w:sz w:val="24"/>
          <w:szCs w:val="24"/>
          <w:lang w:val="en-AU"/>
        </w:rPr>
        <w:t xml:space="preserve"> N., Henty M., </w:t>
      </w:r>
      <w:proofErr w:type="spellStart"/>
      <w:r w:rsidRPr="005D7D49">
        <w:rPr>
          <w:rFonts w:ascii="Times New Roman" w:hAnsi="Times New Roman"/>
          <w:sz w:val="24"/>
          <w:szCs w:val="24"/>
          <w:lang w:val="en-AU"/>
        </w:rPr>
        <w:t>Lemos</w:t>
      </w:r>
      <w:proofErr w:type="spellEnd"/>
      <w:r w:rsidRPr="005D7D49">
        <w:rPr>
          <w:rFonts w:ascii="Times New Roman" w:hAnsi="Times New Roman"/>
          <w:sz w:val="24"/>
          <w:szCs w:val="24"/>
          <w:lang w:val="en-AU"/>
        </w:rPr>
        <w:t xml:space="preserve"> S., </w:t>
      </w:r>
      <w:proofErr w:type="spellStart"/>
      <w:r w:rsidRPr="005D7D49">
        <w:rPr>
          <w:rFonts w:ascii="Times New Roman" w:hAnsi="Times New Roman"/>
          <w:sz w:val="24"/>
          <w:szCs w:val="24"/>
          <w:lang w:val="en-AU"/>
        </w:rPr>
        <w:t>Portes</w:t>
      </w:r>
      <w:proofErr w:type="spellEnd"/>
      <w:r w:rsidRPr="005D7D49">
        <w:rPr>
          <w:rFonts w:ascii="Times New Roman" w:hAnsi="Times New Roman"/>
          <w:sz w:val="24"/>
          <w:szCs w:val="24"/>
          <w:lang w:val="en-AU"/>
        </w:rPr>
        <w:t xml:space="preserve"> J., Bullen C., 2006, The impact of free movement of workers from Central and Eastern Europe on the UK </w:t>
      </w:r>
      <w:proofErr w:type="spellStart"/>
      <w:r w:rsidRPr="005D7D49">
        <w:rPr>
          <w:rFonts w:ascii="Times New Roman" w:hAnsi="Times New Roman"/>
          <w:sz w:val="24"/>
          <w:szCs w:val="24"/>
          <w:lang w:val="en-AU"/>
        </w:rPr>
        <w:t>labor</w:t>
      </w:r>
      <w:proofErr w:type="spellEnd"/>
      <w:r w:rsidRPr="005D7D49">
        <w:rPr>
          <w:rFonts w:ascii="Times New Roman" w:hAnsi="Times New Roman"/>
          <w:sz w:val="24"/>
          <w:szCs w:val="24"/>
          <w:lang w:val="en-AU"/>
        </w:rPr>
        <w:t xml:space="preserve"> market, Department for Work and Pensions Working Paper No 29, London</w:t>
      </w:r>
    </w:p>
    <w:p w14:paraId="433AB356" w14:textId="77777777" w:rsidR="005D7D49" w:rsidRPr="005D7D49" w:rsidRDefault="005D7D49" w:rsidP="005D7D49">
      <w:pPr>
        <w:spacing w:after="0" w:line="360" w:lineRule="auto"/>
        <w:jc w:val="both"/>
        <w:rPr>
          <w:rFonts w:ascii="Times New Roman" w:hAnsi="Times New Roman"/>
          <w:bCs/>
          <w:sz w:val="24"/>
          <w:szCs w:val="24"/>
          <w:lang w:val="pl-PL"/>
        </w:rPr>
      </w:pPr>
      <w:r w:rsidRPr="005D7D49">
        <w:rPr>
          <w:rFonts w:ascii="Times New Roman" w:hAnsi="Times New Roman"/>
          <w:bCs/>
          <w:sz w:val="24"/>
          <w:szCs w:val="24"/>
          <w:lang w:val="pl-PL"/>
        </w:rPr>
        <w:t xml:space="preserve">Hubner D., 2004, Wpływ członkostwa w UE na wzrost gospodarzy w Polsce, in: Kołodko G., W., (red) Strategia szybkiego wzrostu gospodarczego w Polsce, Wydawnictwa </w:t>
      </w:r>
      <w:proofErr w:type="spellStart"/>
      <w:r w:rsidRPr="005D7D49">
        <w:rPr>
          <w:rFonts w:ascii="Times New Roman" w:hAnsi="Times New Roman"/>
          <w:bCs/>
          <w:sz w:val="24"/>
          <w:szCs w:val="24"/>
          <w:lang w:val="pl-PL"/>
        </w:rPr>
        <w:t>WSPiZ</w:t>
      </w:r>
      <w:proofErr w:type="spellEnd"/>
      <w:r w:rsidRPr="005D7D49">
        <w:rPr>
          <w:rFonts w:ascii="Times New Roman" w:hAnsi="Times New Roman"/>
          <w:bCs/>
          <w:sz w:val="24"/>
          <w:szCs w:val="24"/>
          <w:lang w:val="pl-PL"/>
        </w:rPr>
        <w:t>, Warszawa 2004</w:t>
      </w:r>
    </w:p>
    <w:p w14:paraId="3DFECD13" w14:textId="77777777" w:rsidR="005D7D49" w:rsidRPr="005D7D49" w:rsidRDefault="005D7D49" w:rsidP="005D7D49">
      <w:pPr>
        <w:spacing w:after="0" w:line="360" w:lineRule="auto"/>
        <w:jc w:val="both"/>
        <w:rPr>
          <w:rFonts w:ascii="Times New Roman" w:hAnsi="Times New Roman"/>
          <w:sz w:val="24"/>
          <w:szCs w:val="24"/>
          <w:lang w:val="en-AU"/>
        </w:rPr>
      </w:pPr>
      <w:r w:rsidRPr="005D7D49">
        <w:rPr>
          <w:rFonts w:ascii="Times New Roman" w:hAnsi="Times New Roman"/>
          <w:sz w:val="24"/>
          <w:szCs w:val="24"/>
          <w:lang w:val="en-AU"/>
        </w:rPr>
        <w:t xml:space="preserve">ILO, 2008, World of Work, Report 2008. Income Inequalities in the Age of Financial Globalization, International </w:t>
      </w:r>
      <w:proofErr w:type="spellStart"/>
      <w:r w:rsidRPr="005D7D49">
        <w:rPr>
          <w:rFonts w:ascii="Times New Roman" w:hAnsi="Times New Roman"/>
          <w:sz w:val="24"/>
          <w:szCs w:val="24"/>
          <w:lang w:val="en-AU"/>
        </w:rPr>
        <w:t>Labor</w:t>
      </w:r>
      <w:proofErr w:type="spellEnd"/>
      <w:r w:rsidRPr="005D7D49">
        <w:rPr>
          <w:rFonts w:ascii="Times New Roman" w:hAnsi="Times New Roman"/>
          <w:sz w:val="24"/>
          <w:szCs w:val="24"/>
          <w:lang w:val="en-AU"/>
        </w:rPr>
        <w:t xml:space="preserve"> Organization</w:t>
      </w:r>
    </w:p>
    <w:p w14:paraId="730E1BC7" w14:textId="77777777" w:rsidR="005D7D49" w:rsidRPr="005D7D49" w:rsidRDefault="005D7D49" w:rsidP="005D7D49">
      <w:pPr>
        <w:spacing w:after="0" w:line="360" w:lineRule="auto"/>
        <w:jc w:val="both"/>
        <w:rPr>
          <w:rFonts w:ascii="Times New Roman" w:hAnsi="Times New Roman"/>
          <w:sz w:val="24"/>
          <w:szCs w:val="24"/>
          <w:lang w:val="en-AU"/>
        </w:rPr>
      </w:pPr>
      <w:r w:rsidRPr="005D7D49">
        <w:rPr>
          <w:rFonts w:ascii="Times New Roman" w:hAnsi="Times New Roman"/>
          <w:sz w:val="24"/>
          <w:szCs w:val="24"/>
          <w:lang w:val="en-AU"/>
        </w:rPr>
        <w:t>IMF, 2007, October, World Economic Outlook, International Monetary Fund</w:t>
      </w:r>
    </w:p>
    <w:p w14:paraId="7F4CA53D" w14:textId="77777777" w:rsidR="005D7D49" w:rsidRPr="005D7D49" w:rsidRDefault="005D7D49" w:rsidP="005D7D49">
      <w:pPr>
        <w:spacing w:after="0" w:line="360" w:lineRule="auto"/>
        <w:jc w:val="both"/>
        <w:rPr>
          <w:rFonts w:ascii="Times New Roman" w:hAnsi="Times New Roman"/>
          <w:bCs/>
          <w:sz w:val="24"/>
          <w:szCs w:val="24"/>
          <w:lang w:val="en-AU"/>
        </w:rPr>
      </w:pPr>
      <w:r w:rsidRPr="005D7D49">
        <w:rPr>
          <w:rFonts w:ascii="Times New Roman" w:hAnsi="Times New Roman"/>
          <w:sz w:val="24"/>
          <w:szCs w:val="24"/>
          <w:lang w:val="en-AU"/>
        </w:rPr>
        <w:t xml:space="preserve">IMF, 2016, </w:t>
      </w:r>
      <w:r w:rsidRPr="005D7D49">
        <w:rPr>
          <w:rFonts w:ascii="Times New Roman" w:hAnsi="Times New Roman"/>
          <w:bCs/>
          <w:sz w:val="24"/>
          <w:szCs w:val="24"/>
          <w:lang w:val="pl-PL"/>
        </w:rPr>
        <w:t xml:space="preserve">Cross-Country Report on Minimum </w:t>
      </w:r>
      <w:proofErr w:type="spellStart"/>
      <w:r w:rsidRPr="005D7D49">
        <w:rPr>
          <w:rFonts w:ascii="Times New Roman" w:hAnsi="Times New Roman"/>
          <w:bCs/>
          <w:sz w:val="24"/>
          <w:szCs w:val="24"/>
          <w:lang w:val="pl-PL"/>
        </w:rPr>
        <w:t>Wages</w:t>
      </w:r>
      <w:proofErr w:type="spellEnd"/>
      <w:r w:rsidRPr="005D7D49">
        <w:rPr>
          <w:rFonts w:ascii="Times New Roman" w:hAnsi="Times New Roman"/>
          <w:bCs/>
          <w:sz w:val="24"/>
          <w:szCs w:val="24"/>
          <w:lang w:val="pl-PL"/>
        </w:rPr>
        <w:t xml:space="preserve"> : </w:t>
      </w:r>
      <w:proofErr w:type="spellStart"/>
      <w:r w:rsidRPr="005D7D49">
        <w:rPr>
          <w:rFonts w:ascii="Times New Roman" w:hAnsi="Times New Roman"/>
          <w:bCs/>
          <w:sz w:val="24"/>
          <w:szCs w:val="24"/>
          <w:lang w:val="pl-PL"/>
        </w:rPr>
        <w:t>Selected</w:t>
      </w:r>
      <w:proofErr w:type="spellEnd"/>
      <w:r w:rsidRPr="005D7D49">
        <w:rPr>
          <w:rFonts w:ascii="Times New Roman" w:hAnsi="Times New Roman"/>
          <w:bCs/>
          <w:sz w:val="24"/>
          <w:szCs w:val="24"/>
          <w:lang w:val="pl-PL"/>
        </w:rPr>
        <w:t xml:space="preserve"> </w:t>
      </w:r>
      <w:proofErr w:type="spellStart"/>
      <w:r w:rsidRPr="005D7D49">
        <w:rPr>
          <w:rFonts w:ascii="Times New Roman" w:hAnsi="Times New Roman"/>
          <w:bCs/>
          <w:sz w:val="24"/>
          <w:szCs w:val="24"/>
          <w:lang w:val="pl-PL"/>
        </w:rPr>
        <w:t>Issues</w:t>
      </w:r>
      <w:proofErr w:type="spellEnd"/>
      <w:r w:rsidRPr="005D7D49">
        <w:rPr>
          <w:rFonts w:ascii="Times New Roman" w:hAnsi="Times New Roman"/>
          <w:bCs/>
          <w:sz w:val="24"/>
          <w:szCs w:val="24"/>
          <w:lang w:val="pl-PL"/>
        </w:rPr>
        <w:t xml:space="preserve">, Country Report No. 16/151, International </w:t>
      </w:r>
      <w:proofErr w:type="spellStart"/>
      <w:r w:rsidRPr="005D7D49">
        <w:rPr>
          <w:rFonts w:ascii="Times New Roman" w:hAnsi="Times New Roman"/>
          <w:bCs/>
          <w:sz w:val="24"/>
          <w:szCs w:val="24"/>
          <w:lang w:val="pl-PL"/>
        </w:rPr>
        <w:t>Monetary</w:t>
      </w:r>
      <w:proofErr w:type="spellEnd"/>
      <w:r w:rsidRPr="005D7D49">
        <w:rPr>
          <w:rFonts w:ascii="Times New Roman" w:hAnsi="Times New Roman"/>
          <w:bCs/>
          <w:sz w:val="24"/>
          <w:szCs w:val="24"/>
          <w:lang w:val="pl-PL"/>
        </w:rPr>
        <w:t xml:space="preserve"> Fund</w:t>
      </w:r>
    </w:p>
    <w:p w14:paraId="3A6C106B"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Jaumotte</w:t>
      </w:r>
      <w:proofErr w:type="spellEnd"/>
      <w:r w:rsidRPr="005D7D49">
        <w:rPr>
          <w:rFonts w:ascii="Times New Roman" w:hAnsi="Times New Roman"/>
          <w:sz w:val="24"/>
          <w:szCs w:val="24"/>
          <w:lang w:val="en-AU"/>
        </w:rPr>
        <w:t xml:space="preserve"> F., </w:t>
      </w:r>
      <w:proofErr w:type="spellStart"/>
      <w:r w:rsidRPr="005D7D49">
        <w:rPr>
          <w:rFonts w:ascii="Times New Roman" w:hAnsi="Times New Roman"/>
          <w:sz w:val="24"/>
          <w:szCs w:val="24"/>
          <w:lang w:val="en-AU"/>
        </w:rPr>
        <w:t>Sodsriwiboon</w:t>
      </w:r>
      <w:proofErr w:type="spellEnd"/>
      <w:r w:rsidRPr="005D7D49">
        <w:rPr>
          <w:rFonts w:ascii="Times New Roman" w:hAnsi="Times New Roman"/>
          <w:sz w:val="24"/>
          <w:szCs w:val="24"/>
          <w:lang w:val="en-AU"/>
        </w:rPr>
        <w:t xml:space="preserve"> P., 2010, Current Account Imbalances in the Southern Euro Area,  IMF Working Paper WP/10/139</w:t>
      </w:r>
    </w:p>
    <w:p w14:paraId="5EBEAB11"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Kahanec</w:t>
      </w:r>
      <w:proofErr w:type="spellEnd"/>
      <w:r w:rsidRPr="005D7D49">
        <w:rPr>
          <w:rFonts w:ascii="Times New Roman" w:hAnsi="Times New Roman"/>
          <w:sz w:val="24"/>
          <w:szCs w:val="24"/>
          <w:lang w:val="en-AU"/>
        </w:rPr>
        <w:t xml:space="preserve"> M., Zimmermann K. (ed.), 2010, EU </w:t>
      </w:r>
      <w:proofErr w:type="spellStart"/>
      <w:r w:rsidRPr="005D7D49">
        <w:rPr>
          <w:rFonts w:ascii="Times New Roman" w:hAnsi="Times New Roman"/>
          <w:sz w:val="24"/>
          <w:szCs w:val="24"/>
          <w:lang w:val="en-AU"/>
        </w:rPr>
        <w:t>Labor</w:t>
      </w:r>
      <w:proofErr w:type="spellEnd"/>
      <w:r w:rsidRPr="005D7D49">
        <w:rPr>
          <w:rFonts w:ascii="Times New Roman" w:hAnsi="Times New Roman"/>
          <w:sz w:val="24"/>
          <w:szCs w:val="24"/>
          <w:lang w:val="en-AU"/>
        </w:rPr>
        <w:t xml:space="preserve"> Markets After Post-Enlargement Migration, Springer</w:t>
      </w:r>
    </w:p>
    <w:p w14:paraId="53B58EFB"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lastRenderedPageBreak/>
        <w:t>Kahanec</w:t>
      </w:r>
      <w:proofErr w:type="spellEnd"/>
      <w:r w:rsidRPr="005D7D49">
        <w:rPr>
          <w:rFonts w:ascii="Times New Roman" w:hAnsi="Times New Roman"/>
          <w:sz w:val="24"/>
          <w:szCs w:val="24"/>
          <w:lang w:val="en-AU"/>
        </w:rPr>
        <w:t xml:space="preserve"> M., Zimmermann K., 2014, How skilled immigration may improve economic Equality, IZA Journal of Migration 2014, 3:2</w:t>
      </w:r>
    </w:p>
    <w:p w14:paraId="773B0AEC"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Podpiera</w:t>
      </w:r>
      <w:proofErr w:type="spellEnd"/>
      <w:r w:rsidRPr="005D7D49">
        <w:rPr>
          <w:rFonts w:ascii="Times New Roman" w:hAnsi="Times New Roman"/>
          <w:sz w:val="24"/>
          <w:szCs w:val="24"/>
          <w:lang w:val="en-AU"/>
        </w:rPr>
        <w:t xml:space="preserve"> J., </w:t>
      </w:r>
      <w:proofErr w:type="spellStart"/>
      <w:r w:rsidRPr="005D7D49">
        <w:rPr>
          <w:rFonts w:ascii="Times New Roman" w:hAnsi="Times New Roman"/>
          <w:sz w:val="24"/>
          <w:szCs w:val="24"/>
          <w:lang w:val="en-AU"/>
        </w:rPr>
        <w:t>Raei</w:t>
      </w:r>
      <w:proofErr w:type="spellEnd"/>
      <w:r w:rsidRPr="005D7D49">
        <w:rPr>
          <w:rFonts w:ascii="Times New Roman" w:hAnsi="Times New Roman"/>
          <w:sz w:val="24"/>
          <w:szCs w:val="24"/>
          <w:lang w:val="en-AU"/>
        </w:rPr>
        <w:t xml:space="preserve"> F., </w:t>
      </w:r>
      <w:proofErr w:type="spellStart"/>
      <w:r w:rsidRPr="005D7D49">
        <w:rPr>
          <w:rFonts w:ascii="Times New Roman" w:hAnsi="Times New Roman"/>
          <w:sz w:val="24"/>
          <w:szCs w:val="24"/>
          <w:lang w:val="en-AU"/>
        </w:rPr>
        <w:t>Stepanyan</w:t>
      </w:r>
      <w:proofErr w:type="spellEnd"/>
      <w:r w:rsidRPr="005D7D49">
        <w:rPr>
          <w:rFonts w:ascii="Times New Roman" w:hAnsi="Times New Roman"/>
          <w:sz w:val="24"/>
          <w:szCs w:val="24"/>
          <w:lang w:val="en-AU"/>
        </w:rPr>
        <w:t xml:space="preserve"> A., 2017, A Fresh Look at Potential Output in Central, Eastern, and </w:t>
      </w:r>
      <w:proofErr w:type="spellStart"/>
      <w:r w:rsidRPr="005D7D49">
        <w:rPr>
          <w:rFonts w:ascii="Times New Roman" w:hAnsi="Times New Roman"/>
          <w:sz w:val="24"/>
          <w:szCs w:val="24"/>
          <w:lang w:val="en-AU"/>
        </w:rPr>
        <w:t>Southeastern</w:t>
      </w:r>
      <w:proofErr w:type="spellEnd"/>
      <w:r w:rsidRPr="005D7D49">
        <w:rPr>
          <w:rFonts w:ascii="Times New Roman" w:hAnsi="Times New Roman"/>
          <w:sz w:val="24"/>
          <w:szCs w:val="24"/>
          <w:lang w:val="en-AU"/>
        </w:rPr>
        <w:t xml:space="preserve"> European Countries, IMF Working Paper WP/17/37</w:t>
      </w:r>
    </w:p>
    <w:p w14:paraId="2F1EF479" w14:textId="658880CB" w:rsidR="005D7D49" w:rsidRPr="005D7D49" w:rsidRDefault="005D7D49" w:rsidP="005D7D49">
      <w:pPr>
        <w:spacing w:after="0" w:line="360" w:lineRule="auto"/>
        <w:jc w:val="both"/>
        <w:rPr>
          <w:rFonts w:ascii="Times New Roman" w:hAnsi="Times New Roman"/>
          <w:bCs/>
          <w:sz w:val="24"/>
          <w:szCs w:val="24"/>
          <w:lang w:val="pl-PL"/>
        </w:rPr>
      </w:pPr>
      <w:r w:rsidRPr="005D7D49">
        <w:rPr>
          <w:rFonts w:ascii="Times New Roman" w:hAnsi="Times New Roman"/>
          <w:bCs/>
          <w:sz w:val="24"/>
          <w:szCs w:val="24"/>
          <w:lang w:val="pl-PL"/>
        </w:rPr>
        <w:t>Szlachta J., 2004, Znaczenie funduszy strukturalnych i Funduszu Spójności dla stymulowania trwałego wzrostu gospodarczego w Polsce, in: Kołodko G., W., (red) Strategia szybkiego wzrostu gospodarczego w Polsce, Wydawnictw</w:t>
      </w:r>
      <w:r>
        <w:rPr>
          <w:rFonts w:ascii="Times New Roman" w:hAnsi="Times New Roman"/>
          <w:bCs/>
          <w:sz w:val="24"/>
          <w:szCs w:val="24"/>
          <w:lang w:val="pl-PL"/>
        </w:rPr>
        <w:t>o</w:t>
      </w:r>
      <w:r w:rsidRPr="005D7D49">
        <w:rPr>
          <w:rFonts w:ascii="Times New Roman" w:hAnsi="Times New Roman"/>
          <w:bCs/>
          <w:sz w:val="24"/>
          <w:szCs w:val="24"/>
          <w:lang w:val="pl-PL"/>
        </w:rPr>
        <w:t xml:space="preserve"> </w:t>
      </w:r>
      <w:proofErr w:type="spellStart"/>
      <w:r w:rsidRPr="005D7D49">
        <w:rPr>
          <w:rFonts w:ascii="Times New Roman" w:hAnsi="Times New Roman"/>
          <w:bCs/>
          <w:sz w:val="24"/>
          <w:szCs w:val="24"/>
          <w:lang w:val="pl-PL"/>
        </w:rPr>
        <w:t>WSPiZ</w:t>
      </w:r>
      <w:proofErr w:type="spellEnd"/>
      <w:r w:rsidRPr="005D7D49">
        <w:rPr>
          <w:rFonts w:ascii="Times New Roman" w:hAnsi="Times New Roman"/>
          <w:bCs/>
          <w:sz w:val="24"/>
          <w:szCs w:val="24"/>
          <w:lang w:val="pl-PL"/>
        </w:rPr>
        <w:t>, Warszawa</w:t>
      </w:r>
    </w:p>
    <w:p w14:paraId="51959FCC" w14:textId="77777777" w:rsidR="005D7D49" w:rsidRPr="005D7D49" w:rsidRDefault="005D7D49" w:rsidP="005D7D49">
      <w:pPr>
        <w:spacing w:after="0" w:line="360" w:lineRule="auto"/>
        <w:jc w:val="both"/>
        <w:rPr>
          <w:rFonts w:ascii="Times New Roman" w:hAnsi="Times New Roman"/>
          <w:sz w:val="24"/>
          <w:szCs w:val="24"/>
          <w:lang w:val="en-AU"/>
        </w:rPr>
      </w:pPr>
      <w:proofErr w:type="spellStart"/>
      <w:r w:rsidRPr="005D7D49">
        <w:rPr>
          <w:rFonts w:ascii="Times New Roman" w:hAnsi="Times New Roman"/>
          <w:sz w:val="24"/>
          <w:szCs w:val="24"/>
          <w:lang w:val="en-AU"/>
        </w:rPr>
        <w:t>Thimann</w:t>
      </w:r>
      <w:proofErr w:type="spellEnd"/>
      <w:r w:rsidRPr="005D7D49">
        <w:rPr>
          <w:rFonts w:ascii="Times New Roman" w:hAnsi="Times New Roman"/>
          <w:sz w:val="24"/>
          <w:szCs w:val="24"/>
          <w:lang w:val="en-AU"/>
        </w:rPr>
        <w:t xml:space="preserve"> C., 2015, </w:t>
      </w:r>
      <w:r w:rsidRPr="005D7D49">
        <w:rPr>
          <w:rFonts w:ascii="Times New Roman" w:hAnsi="Times New Roman"/>
          <w:bCs/>
          <w:sz w:val="24"/>
          <w:szCs w:val="24"/>
          <w:lang w:val="en-AU"/>
        </w:rPr>
        <w:t xml:space="preserve">The Microeconomic Dimensions of the Eurozone Crisis and Why European Politics Cannot Solve Them, </w:t>
      </w:r>
      <w:r w:rsidRPr="005D7D49">
        <w:rPr>
          <w:rFonts w:ascii="Times New Roman" w:hAnsi="Times New Roman"/>
          <w:bCs/>
          <w:iCs/>
          <w:sz w:val="24"/>
          <w:szCs w:val="24"/>
          <w:lang w:val="en-AU"/>
        </w:rPr>
        <w:t>Journal of Economic Perspectives—Volume 29, Number 3—Summer 2015</w:t>
      </w:r>
    </w:p>
    <w:p w14:paraId="50B5466D" w14:textId="77777777" w:rsidR="005D7D49" w:rsidRPr="00AB56A1" w:rsidRDefault="005D7D49" w:rsidP="00AB05A6">
      <w:pPr>
        <w:spacing w:after="0" w:line="360" w:lineRule="auto"/>
        <w:jc w:val="both"/>
        <w:rPr>
          <w:rFonts w:ascii="Times New Roman" w:eastAsia="Times New Roman" w:hAnsi="Times New Roman" w:cs="Times New Roman"/>
          <w:sz w:val="24"/>
          <w:szCs w:val="24"/>
        </w:rPr>
      </w:pPr>
    </w:p>
    <w:sectPr w:rsidR="005D7D49" w:rsidRPr="00AB56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962E8" w14:textId="77777777" w:rsidR="000343CC" w:rsidRDefault="000343CC" w:rsidP="00916C90">
      <w:pPr>
        <w:spacing w:after="0" w:line="240" w:lineRule="auto"/>
      </w:pPr>
      <w:r>
        <w:separator/>
      </w:r>
    </w:p>
  </w:endnote>
  <w:endnote w:type="continuationSeparator" w:id="0">
    <w:p w14:paraId="102223D5" w14:textId="77777777" w:rsidR="000343CC" w:rsidRDefault="000343CC" w:rsidP="00916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B2FA0" w14:textId="77777777" w:rsidR="000343CC" w:rsidRDefault="000343CC" w:rsidP="00916C90">
      <w:pPr>
        <w:spacing w:after="0" w:line="240" w:lineRule="auto"/>
      </w:pPr>
      <w:r>
        <w:separator/>
      </w:r>
    </w:p>
  </w:footnote>
  <w:footnote w:type="continuationSeparator" w:id="0">
    <w:p w14:paraId="08822E79" w14:textId="77777777" w:rsidR="000343CC" w:rsidRDefault="000343CC" w:rsidP="00916C90">
      <w:pPr>
        <w:spacing w:after="0" w:line="240" w:lineRule="auto"/>
      </w:pPr>
      <w:r>
        <w:continuationSeparator/>
      </w:r>
    </w:p>
  </w:footnote>
  <w:footnote w:id="1">
    <w:p w14:paraId="626C7F7B" w14:textId="0D964394" w:rsidR="008A0894" w:rsidRPr="00AB05A6" w:rsidRDefault="008A0894" w:rsidP="00AB05A6">
      <w:pPr>
        <w:pStyle w:val="Tekstprzypisudolnego"/>
        <w:rPr>
          <w:lang w:val="pl-PL"/>
        </w:rPr>
      </w:pPr>
      <w:r>
        <w:rPr>
          <w:rStyle w:val="Odwoanieprzypisudolnego"/>
        </w:rPr>
        <w:footnoteRef/>
      </w:r>
      <w:r>
        <w:t xml:space="preserve"> </w:t>
      </w:r>
      <w:r>
        <w:rPr>
          <w:lang w:val="pl-PL"/>
        </w:rPr>
        <w:t xml:space="preserve">Paper </w:t>
      </w:r>
      <w:proofErr w:type="spellStart"/>
      <w:r>
        <w:rPr>
          <w:lang w:val="pl-PL"/>
        </w:rPr>
        <w:t>presents</w:t>
      </w:r>
      <w:proofErr w:type="spellEnd"/>
      <w:r>
        <w:rPr>
          <w:lang w:val="pl-PL"/>
        </w:rPr>
        <w:t xml:space="preserve"> </w:t>
      </w:r>
      <w:proofErr w:type="spellStart"/>
      <w:r>
        <w:rPr>
          <w:lang w:val="pl-PL"/>
        </w:rPr>
        <w:t>research</w:t>
      </w:r>
      <w:proofErr w:type="spellEnd"/>
      <w:r>
        <w:rPr>
          <w:lang w:val="pl-PL"/>
        </w:rPr>
        <w:t xml:space="preserve"> </w:t>
      </w:r>
      <w:proofErr w:type="spellStart"/>
      <w:r>
        <w:rPr>
          <w:lang w:val="pl-PL"/>
        </w:rPr>
        <w:t>conducted</w:t>
      </w:r>
      <w:proofErr w:type="spellEnd"/>
      <w:r>
        <w:rPr>
          <w:lang w:val="pl-PL"/>
        </w:rPr>
        <w:t xml:space="preserve"> </w:t>
      </w:r>
      <w:proofErr w:type="spellStart"/>
      <w:r>
        <w:rPr>
          <w:lang w:val="pl-PL"/>
        </w:rPr>
        <w:t>within</w:t>
      </w:r>
      <w:proofErr w:type="spellEnd"/>
      <w:r>
        <w:rPr>
          <w:lang w:val="pl-PL"/>
        </w:rPr>
        <w:t xml:space="preserve"> the </w:t>
      </w:r>
      <w:proofErr w:type="spellStart"/>
      <w:r>
        <w:rPr>
          <w:lang w:val="pl-PL"/>
        </w:rPr>
        <w:t>realization</w:t>
      </w:r>
      <w:proofErr w:type="spellEnd"/>
      <w:r>
        <w:rPr>
          <w:lang w:val="pl-PL"/>
        </w:rPr>
        <w:t xml:space="preserve"> of the </w:t>
      </w:r>
      <w:proofErr w:type="spellStart"/>
      <w:r>
        <w:rPr>
          <w:lang w:val="pl-PL"/>
        </w:rPr>
        <w:t>project</w:t>
      </w:r>
      <w:proofErr w:type="spellEnd"/>
      <w:r>
        <w:rPr>
          <w:lang w:val="pl-PL"/>
        </w:rPr>
        <w:t xml:space="preserve">: </w:t>
      </w:r>
      <w:r w:rsidRPr="00AB05A6">
        <w:rPr>
          <w:lang w:val="pl-PL"/>
        </w:rPr>
        <w:t>„</w:t>
      </w:r>
      <w:r w:rsidRPr="00AB05A6">
        <w:rPr>
          <w:lang w:val="en-AU"/>
        </w:rPr>
        <w:t>Income Dynamics and Structure in CEE Economies in the Context of Deepening EU Integration”</w:t>
      </w:r>
      <w:r>
        <w:rPr>
          <w:lang w:val="pl-PL"/>
        </w:rPr>
        <w:t xml:space="preserve"> </w:t>
      </w:r>
      <w:proofErr w:type="spellStart"/>
      <w:r>
        <w:rPr>
          <w:lang w:val="pl-PL"/>
        </w:rPr>
        <w:t>financed</w:t>
      </w:r>
      <w:proofErr w:type="spellEnd"/>
      <w:r>
        <w:rPr>
          <w:lang w:val="pl-PL"/>
        </w:rPr>
        <w:t xml:space="preserve"> by CEIBS ERICEE </w:t>
      </w:r>
      <w:proofErr w:type="spellStart"/>
      <w:r>
        <w:rPr>
          <w:lang w:val="pl-PL"/>
        </w:rPr>
        <w:t>Research</w:t>
      </w:r>
      <w:proofErr w:type="spellEnd"/>
      <w:r>
        <w:rPr>
          <w:lang w:val="pl-PL"/>
        </w:rPr>
        <w:t xml:space="preserve"> Grant Program</w:t>
      </w:r>
    </w:p>
  </w:footnote>
  <w:footnote w:id="2">
    <w:p w14:paraId="78D6F847" w14:textId="4226F67F" w:rsidR="008A0894" w:rsidRDefault="008A0894" w:rsidP="000027D9">
      <w:pPr>
        <w:pStyle w:val="Tekstprzypisudolnego"/>
      </w:pPr>
      <w:r>
        <w:rPr>
          <w:rStyle w:val="Odwoanieprzypisudolnego"/>
        </w:rPr>
        <w:footnoteRef/>
      </w:r>
      <w:r>
        <w:t xml:space="preserve"> An exception here is the monetary policy in the countries that are Euro zone members.</w:t>
      </w:r>
    </w:p>
  </w:footnote>
  <w:footnote w:id="3">
    <w:p w14:paraId="69FFAE35" w14:textId="77777777" w:rsidR="008A0894" w:rsidRDefault="008A0894">
      <w:pPr>
        <w:pStyle w:val="Tekstprzypisudolnego"/>
      </w:pPr>
      <w:r>
        <w:rPr>
          <w:rStyle w:val="Odwoanieprzypisudolnego"/>
        </w:rPr>
        <w:footnoteRef/>
      </w:r>
      <w:r>
        <w:t xml:space="preserve"> An exception here are years of crisis, when a particularly deep recession was observed in particular in the Baltic countries.</w:t>
      </w:r>
    </w:p>
  </w:footnote>
  <w:footnote w:id="4">
    <w:p w14:paraId="10CB0F2F" w14:textId="6BCB2D9E" w:rsidR="008A0894" w:rsidRDefault="008A0894">
      <w:pPr>
        <w:pStyle w:val="Tekstprzypisudolnego"/>
      </w:pPr>
      <w:r>
        <w:rPr>
          <w:rStyle w:val="Odwoanieprzypisudolnego"/>
        </w:rPr>
        <w:footnoteRef/>
      </w:r>
      <w:r>
        <w:t xml:space="preserve"> For different US states, there is no need to apply the Purchasing Power Parities as in the case of international comparisons.</w:t>
      </w:r>
    </w:p>
  </w:footnote>
  <w:footnote w:id="5">
    <w:p w14:paraId="59122F13" w14:textId="77777777" w:rsidR="008A0894" w:rsidRPr="00163019" w:rsidRDefault="008A0894" w:rsidP="00916C90">
      <w:pPr>
        <w:pStyle w:val="Tekstprzypisudolnego1"/>
      </w:pPr>
      <w:r>
        <w:rPr>
          <w:rStyle w:val="Odwoanieprzypisudolnego"/>
        </w:rPr>
        <w:footnoteRef/>
      </w:r>
      <w:r>
        <w:t xml:space="preserve"> It is regulated only through the indication of the maximum and minimum values of the indirect taxes level, i.e. VAT and excise. However, regulations relating to the VAT rate are rather recommendations, e.g. Hungary applies a standard VAT rate at the level of 27% i.e. higher than it is recommended by the EU that specifies a rate of 25%.</w:t>
      </w:r>
    </w:p>
  </w:footnote>
  <w:footnote w:id="6">
    <w:p w14:paraId="29A4E42A" w14:textId="77777777" w:rsidR="008A0894" w:rsidRPr="00FA1767" w:rsidRDefault="008A0894" w:rsidP="00916C90">
      <w:pPr>
        <w:pStyle w:val="Tekstprzypisudolnego1"/>
      </w:pPr>
      <w:r>
        <w:rPr>
          <w:rStyle w:val="Odwoanieprzypisudolnego"/>
        </w:rPr>
        <w:footnoteRef/>
      </w:r>
      <w:r>
        <w:t xml:space="preserve"> Even though a massive emigration leads to the reduction of differences in wages between rich and poor countries, in a long-term perspective, this correlation is not so obvious, since the outflow of the working-age population from a given country means a decrease in the productive capacity of a given economy that determines the possibility of maintaining a high pace of economic growth in a long-term perspective.</w:t>
      </w:r>
    </w:p>
  </w:footnote>
  <w:footnote w:id="7">
    <w:p w14:paraId="35D1E731" w14:textId="0628E9C1" w:rsidR="008A0894" w:rsidRPr="00C74FD3" w:rsidRDefault="008A0894" w:rsidP="00916C90">
      <w:pPr>
        <w:pStyle w:val="Tekstprzypisudolnego1"/>
      </w:pPr>
      <w:r>
        <w:rPr>
          <w:rStyle w:val="Odwoanieprzypisudolnego"/>
        </w:rPr>
        <w:footnoteRef/>
      </w:r>
      <w:r>
        <w:t xml:space="preserve"> We can admittedly point out that the imbalance in balance of payments in countries surrounding the Baltic Sea, that in the light of the turmoil on financial markets has led to a sudden escape of capital and a deep recession, was partially a consequence of the EU membership, but certainly a thesis that the EU membership was a source of the downturn in Latvia, Lithuania and Estonia is unjustified.</w:t>
      </w:r>
    </w:p>
  </w:footnote>
  <w:footnote w:id="8">
    <w:p w14:paraId="509F04A9" w14:textId="6A9C4C28" w:rsidR="008A0894" w:rsidRDefault="008A0894" w:rsidP="00916C90">
      <w:pPr>
        <w:pStyle w:val="Tekstprzypisudolnego1"/>
      </w:pPr>
      <w:r>
        <w:rPr>
          <w:rStyle w:val="Odwoanieprzypisudolnego"/>
        </w:rPr>
        <w:footnoteRef/>
      </w:r>
      <w:r>
        <w:t xml:space="preserve"> The differences in the share of wages in GDP provided by different sources (OECD vs. Eurostat) result from a different classification of wages in the national accounts.</w:t>
      </w:r>
    </w:p>
  </w:footnote>
  <w:footnote w:id="9">
    <w:p w14:paraId="7F82BAA1" w14:textId="77777777" w:rsidR="008A0894" w:rsidRPr="007C062E" w:rsidRDefault="008A0894" w:rsidP="00916C90">
      <w:pPr>
        <w:pStyle w:val="Tekstprzypisudolnego1"/>
      </w:pPr>
      <w:r>
        <w:rPr>
          <w:rStyle w:val="Odwoanieprzypisudolnego"/>
        </w:rPr>
        <w:footnoteRef/>
      </w:r>
      <w:r>
        <w:t xml:space="preserve"> This situation has been changing since January 2017, since when the minimum wage is fixed not only on a monthly basis, but also on an hourly basis.</w:t>
      </w:r>
    </w:p>
  </w:footnote>
  <w:footnote w:id="10">
    <w:p w14:paraId="553EC0A0" w14:textId="09227978" w:rsidR="008A0894" w:rsidRDefault="008A0894" w:rsidP="00916C90">
      <w:pPr>
        <w:pStyle w:val="Tekstprzypisudolnego1"/>
      </w:pPr>
      <w:r>
        <w:rPr>
          <w:rStyle w:val="Odwoanieprzypisudolnego"/>
        </w:rPr>
        <w:footnoteRef/>
      </w:r>
      <w:r>
        <w:t xml:space="preserve"> Another amount than the one indicated before results from the fact that, in the table, we present an outflow of people that occurred only in a specific period of time.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2624"/>
    <w:multiLevelType w:val="multilevel"/>
    <w:tmpl w:val="D3E0B40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BC54389"/>
    <w:multiLevelType w:val="hybridMultilevel"/>
    <w:tmpl w:val="E30CFB9A"/>
    <w:lvl w:ilvl="0" w:tplc="543C085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12207D5A"/>
    <w:multiLevelType w:val="hybridMultilevel"/>
    <w:tmpl w:val="44AC00BC"/>
    <w:lvl w:ilvl="0" w:tplc="4B2EB15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7CB0BC5"/>
    <w:multiLevelType w:val="hybridMultilevel"/>
    <w:tmpl w:val="71C62C5C"/>
    <w:lvl w:ilvl="0" w:tplc="D214EB32">
      <w:numFmt w:val="bullet"/>
      <w:lvlText w:val="-"/>
      <w:lvlJc w:val="left"/>
      <w:pPr>
        <w:ind w:left="1068" w:hanging="360"/>
      </w:pPr>
      <w:rPr>
        <w:rFonts w:ascii="Times New Roman" w:eastAsiaTheme="minorHAns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 w15:restartNumberingAfterBreak="0">
    <w:nsid w:val="1EF97B40"/>
    <w:multiLevelType w:val="hybridMultilevel"/>
    <w:tmpl w:val="023AC326"/>
    <w:lvl w:ilvl="0" w:tplc="38EADCAA">
      <w:start w:val="1"/>
      <w:numFmt w:val="decimal"/>
      <w:lvlText w:val="%1."/>
      <w:lvlJc w:val="left"/>
      <w:pPr>
        <w:tabs>
          <w:tab w:val="num" w:pos="1710"/>
        </w:tabs>
        <w:ind w:left="1710" w:hanging="9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FDB4CC4"/>
    <w:multiLevelType w:val="hybridMultilevel"/>
    <w:tmpl w:val="69FA3D66"/>
    <w:lvl w:ilvl="0" w:tplc="0712B6F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22D45B55"/>
    <w:multiLevelType w:val="hybridMultilevel"/>
    <w:tmpl w:val="D34A39DC"/>
    <w:lvl w:ilvl="0" w:tplc="DECE01D6">
      <w:numFmt w:val="bullet"/>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A245699"/>
    <w:multiLevelType w:val="hybridMultilevel"/>
    <w:tmpl w:val="01125C10"/>
    <w:lvl w:ilvl="0" w:tplc="0712B6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2C2671"/>
    <w:multiLevelType w:val="hybridMultilevel"/>
    <w:tmpl w:val="04E88CBC"/>
    <w:lvl w:ilvl="0" w:tplc="CDCA42B2">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FFF40CC"/>
    <w:multiLevelType w:val="hybridMultilevel"/>
    <w:tmpl w:val="48FEBBA4"/>
    <w:lvl w:ilvl="0" w:tplc="0712B6FA">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7C43F70"/>
    <w:multiLevelType w:val="hybridMultilevel"/>
    <w:tmpl w:val="D330534A"/>
    <w:lvl w:ilvl="0" w:tplc="0712B6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A77545"/>
    <w:multiLevelType w:val="hybridMultilevel"/>
    <w:tmpl w:val="43464986"/>
    <w:lvl w:ilvl="0" w:tplc="0712B6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0BB4394"/>
    <w:multiLevelType w:val="hybridMultilevel"/>
    <w:tmpl w:val="C13CB294"/>
    <w:lvl w:ilvl="0" w:tplc="759EB218">
      <w:numFmt w:val="bullet"/>
      <w:lvlText w:val="-"/>
      <w:lvlJc w:val="left"/>
      <w:pPr>
        <w:ind w:left="1065" w:hanging="360"/>
      </w:pPr>
      <w:rPr>
        <w:rFonts w:ascii="Times New Roman" w:eastAsiaTheme="minorHAnsi" w:hAnsi="Times New Roman" w:cs="Times New Roman"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15:restartNumberingAfterBreak="0">
    <w:nsid w:val="6A934951"/>
    <w:multiLevelType w:val="hybridMultilevel"/>
    <w:tmpl w:val="592A10F2"/>
    <w:lvl w:ilvl="0" w:tplc="504A9812">
      <w:start w:val="1"/>
      <w:numFmt w:val="decimal"/>
      <w:lvlText w:val="%1."/>
      <w:lvlJc w:val="left"/>
      <w:pPr>
        <w:tabs>
          <w:tab w:val="num" w:pos="1770"/>
        </w:tabs>
        <w:ind w:left="1770" w:hanging="10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9E19F2"/>
    <w:multiLevelType w:val="hybridMultilevel"/>
    <w:tmpl w:val="68D06834"/>
    <w:lvl w:ilvl="0" w:tplc="813428D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E807F16"/>
    <w:multiLevelType w:val="hybridMultilevel"/>
    <w:tmpl w:val="B6A094FE"/>
    <w:lvl w:ilvl="0" w:tplc="CD1E6C72">
      <w:numFmt w:val="bullet"/>
      <w:lvlText w:val="-"/>
      <w:lvlJc w:val="left"/>
      <w:pPr>
        <w:ind w:left="1068" w:hanging="360"/>
      </w:pPr>
      <w:rPr>
        <w:rFonts w:ascii="Times New Roman" w:eastAsiaTheme="minorHAns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6" w15:restartNumberingAfterBreak="0">
    <w:nsid w:val="741405D3"/>
    <w:multiLevelType w:val="hybridMultilevel"/>
    <w:tmpl w:val="DE6EE21A"/>
    <w:lvl w:ilvl="0" w:tplc="1F28BA4E">
      <w:numFmt w:val="bullet"/>
      <w:lvlText w:val="-"/>
      <w:lvlJc w:val="left"/>
      <w:pPr>
        <w:ind w:left="1068" w:hanging="360"/>
      </w:pPr>
      <w:rPr>
        <w:rFonts w:ascii="Times New Roman" w:eastAsiaTheme="minorHAnsi" w:hAnsi="Times New Roman" w:cs="Times New Roman"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4"/>
  </w:num>
  <w:num w:numId="2">
    <w:abstractNumId w:val="0"/>
  </w:num>
  <w:num w:numId="3">
    <w:abstractNumId w:val="8"/>
  </w:num>
  <w:num w:numId="4">
    <w:abstractNumId w:val="1"/>
  </w:num>
  <w:num w:numId="5">
    <w:abstractNumId w:val="2"/>
  </w:num>
  <w:num w:numId="6">
    <w:abstractNumId w:val="4"/>
  </w:num>
  <w:num w:numId="7">
    <w:abstractNumId w:val="13"/>
  </w:num>
  <w:num w:numId="8">
    <w:abstractNumId w:val="9"/>
  </w:num>
  <w:num w:numId="9">
    <w:abstractNumId w:val="3"/>
  </w:num>
  <w:num w:numId="10">
    <w:abstractNumId w:val="11"/>
  </w:num>
  <w:num w:numId="11">
    <w:abstractNumId w:val="16"/>
  </w:num>
  <w:num w:numId="12">
    <w:abstractNumId w:val="5"/>
  </w:num>
  <w:num w:numId="13">
    <w:abstractNumId w:val="15"/>
  </w:num>
  <w:num w:numId="14">
    <w:abstractNumId w:val="7"/>
  </w:num>
  <w:num w:numId="15">
    <w:abstractNumId w:val="6"/>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C90"/>
    <w:rsid w:val="000027D9"/>
    <w:rsid w:val="000343CC"/>
    <w:rsid w:val="00041248"/>
    <w:rsid w:val="000445BA"/>
    <w:rsid w:val="00082573"/>
    <w:rsid w:val="000973C5"/>
    <w:rsid w:val="00097B55"/>
    <w:rsid w:val="000D6940"/>
    <w:rsid w:val="000F3B0A"/>
    <w:rsid w:val="001252A3"/>
    <w:rsid w:val="00125C16"/>
    <w:rsid w:val="00127BF3"/>
    <w:rsid w:val="00150C86"/>
    <w:rsid w:val="0018124C"/>
    <w:rsid w:val="001A0AB2"/>
    <w:rsid w:val="001D3E49"/>
    <w:rsid w:val="002038D1"/>
    <w:rsid w:val="00205BDB"/>
    <w:rsid w:val="00242A7A"/>
    <w:rsid w:val="0025178C"/>
    <w:rsid w:val="002616A8"/>
    <w:rsid w:val="00280972"/>
    <w:rsid w:val="002843C1"/>
    <w:rsid w:val="00293A39"/>
    <w:rsid w:val="002A73AC"/>
    <w:rsid w:val="002C1E7C"/>
    <w:rsid w:val="002C5CE7"/>
    <w:rsid w:val="00304081"/>
    <w:rsid w:val="00330F4C"/>
    <w:rsid w:val="00352C1C"/>
    <w:rsid w:val="00386E8E"/>
    <w:rsid w:val="003B7262"/>
    <w:rsid w:val="00421CB0"/>
    <w:rsid w:val="00441625"/>
    <w:rsid w:val="00455747"/>
    <w:rsid w:val="0047133B"/>
    <w:rsid w:val="00487200"/>
    <w:rsid w:val="004A18A0"/>
    <w:rsid w:val="004B06FA"/>
    <w:rsid w:val="004B548F"/>
    <w:rsid w:val="004F2B0F"/>
    <w:rsid w:val="00535E22"/>
    <w:rsid w:val="00542D35"/>
    <w:rsid w:val="00554645"/>
    <w:rsid w:val="005609B0"/>
    <w:rsid w:val="00572F1F"/>
    <w:rsid w:val="005747AD"/>
    <w:rsid w:val="005B4264"/>
    <w:rsid w:val="005D7D49"/>
    <w:rsid w:val="005E3017"/>
    <w:rsid w:val="00684A91"/>
    <w:rsid w:val="006B799D"/>
    <w:rsid w:val="006D611B"/>
    <w:rsid w:val="006F3E49"/>
    <w:rsid w:val="007005CD"/>
    <w:rsid w:val="007054BC"/>
    <w:rsid w:val="00726CEF"/>
    <w:rsid w:val="0073699A"/>
    <w:rsid w:val="00752BFB"/>
    <w:rsid w:val="00756D22"/>
    <w:rsid w:val="00772EA1"/>
    <w:rsid w:val="007C0D08"/>
    <w:rsid w:val="007D6920"/>
    <w:rsid w:val="007E26A7"/>
    <w:rsid w:val="007E4099"/>
    <w:rsid w:val="007F0F55"/>
    <w:rsid w:val="00834E58"/>
    <w:rsid w:val="008445AA"/>
    <w:rsid w:val="0085490C"/>
    <w:rsid w:val="00865E3F"/>
    <w:rsid w:val="008A0894"/>
    <w:rsid w:val="008B0F81"/>
    <w:rsid w:val="008B6F3B"/>
    <w:rsid w:val="008C3DB4"/>
    <w:rsid w:val="008D166E"/>
    <w:rsid w:val="00906302"/>
    <w:rsid w:val="00916C90"/>
    <w:rsid w:val="00920206"/>
    <w:rsid w:val="0095074C"/>
    <w:rsid w:val="0095430D"/>
    <w:rsid w:val="009663DB"/>
    <w:rsid w:val="009666D1"/>
    <w:rsid w:val="009B102F"/>
    <w:rsid w:val="009B63C4"/>
    <w:rsid w:val="009F66BD"/>
    <w:rsid w:val="00A1298C"/>
    <w:rsid w:val="00A84D7C"/>
    <w:rsid w:val="00A850D9"/>
    <w:rsid w:val="00AA03CC"/>
    <w:rsid w:val="00AB05A6"/>
    <w:rsid w:val="00AB56A1"/>
    <w:rsid w:val="00AD2FAA"/>
    <w:rsid w:val="00AF45FF"/>
    <w:rsid w:val="00B032F6"/>
    <w:rsid w:val="00B22693"/>
    <w:rsid w:val="00B35044"/>
    <w:rsid w:val="00B72FC9"/>
    <w:rsid w:val="00B8523A"/>
    <w:rsid w:val="00B94A57"/>
    <w:rsid w:val="00BC2E58"/>
    <w:rsid w:val="00BD6371"/>
    <w:rsid w:val="00BE5B72"/>
    <w:rsid w:val="00BF342E"/>
    <w:rsid w:val="00C01FB8"/>
    <w:rsid w:val="00C10508"/>
    <w:rsid w:val="00C337AF"/>
    <w:rsid w:val="00C57E34"/>
    <w:rsid w:val="00C71A42"/>
    <w:rsid w:val="00C75AA3"/>
    <w:rsid w:val="00C8388D"/>
    <w:rsid w:val="00C86C41"/>
    <w:rsid w:val="00CB6C5C"/>
    <w:rsid w:val="00CD1A9A"/>
    <w:rsid w:val="00CE2A9F"/>
    <w:rsid w:val="00CE68A4"/>
    <w:rsid w:val="00D05869"/>
    <w:rsid w:val="00D13426"/>
    <w:rsid w:val="00D22200"/>
    <w:rsid w:val="00D27FAD"/>
    <w:rsid w:val="00D34A74"/>
    <w:rsid w:val="00D4577F"/>
    <w:rsid w:val="00D677DC"/>
    <w:rsid w:val="00D922AE"/>
    <w:rsid w:val="00DE7992"/>
    <w:rsid w:val="00DF5378"/>
    <w:rsid w:val="00E51609"/>
    <w:rsid w:val="00E80706"/>
    <w:rsid w:val="00EB5578"/>
    <w:rsid w:val="00F05483"/>
    <w:rsid w:val="00F254D9"/>
    <w:rsid w:val="00F304C4"/>
    <w:rsid w:val="00F57446"/>
    <w:rsid w:val="00F6479F"/>
    <w:rsid w:val="00F72091"/>
    <w:rsid w:val="00F900E7"/>
    <w:rsid w:val="00F97535"/>
    <w:rsid w:val="00FA463A"/>
    <w:rsid w:val="00FB7024"/>
    <w:rsid w:val="00FD2B38"/>
    <w:rsid w:val="00FD43DA"/>
    <w:rsid w:val="00FF2C9A"/>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331E"/>
  <w15:chartTrackingRefBased/>
  <w15:docId w15:val="{32B5DBEB-1763-4A87-BAE7-53376FA5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916C90"/>
    <w:pPr>
      <w:keepNext/>
      <w:keepLines/>
      <w:spacing w:before="240" w:after="0"/>
      <w:outlineLvl w:val="0"/>
    </w:pPr>
    <w:rPr>
      <w:rFonts w:ascii="Calibri Light" w:eastAsia="Times New Roman" w:hAnsi="Calibri Light" w:cs="Times New Roman"/>
      <w:color w:val="2E74B5"/>
      <w:sz w:val="32"/>
      <w:szCs w:val="32"/>
    </w:rPr>
  </w:style>
  <w:style w:type="paragraph" w:styleId="Nagwek2">
    <w:name w:val="heading 2"/>
    <w:basedOn w:val="Normalny"/>
    <w:next w:val="Normalny"/>
    <w:link w:val="Nagwek2Znak"/>
    <w:uiPriority w:val="9"/>
    <w:semiHidden/>
    <w:unhideWhenUsed/>
    <w:qFormat/>
    <w:rsid w:val="00916C90"/>
    <w:pPr>
      <w:keepNext/>
      <w:keepLines/>
      <w:spacing w:before="40" w:after="0"/>
      <w:outlineLvl w:val="1"/>
    </w:pPr>
    <w:rPr>
      <w:rFonts w:ascii="Calibri Light" w:eastAsia="Times New Roman" w:hAnsi="Calibri Light" w:cs="Times New Roman"/>
      <w:color w:val="2E74B5"/>
      <w:sz w:val="26"/>
      <w:szCs w:val="26"/>
    </w:rPr>
  </w:style>
  <w:style w:type="paragraph" w:styleId="Nagwek3">
    <w:name w:val="heading 3"/>
    <w:basedOn w:val="Normalny"/>
    <w:next w:val="Normalny"/>
    <w:link w:val="Nagwek3Znak"/>
    <w:uiPriority w:val="9"/>
    <w:qFormat/>
    <w:rsid w:val="00916C90"/>
    <w:pPr>
      <w:keepNext/>
      <w:spacing w:before="240" w:after="60" w:line="240" w:lineRule="auto"/>
      <w:outlineLvl w:val="2"/>
    </w:pPr>
    <w:rPr>
      <w:rFonts w:ascii="Arial" w:eastAsia="Times New Roman" w:hAnsi="Arial" w:cs="Arial"/>
      <w:b/>
      <w:bCs/>
      <w:sz w:val="26"/>
      <w:szCs w:val="2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916C90"/>
    <w:pPr>
      <w:keepNext/>
      <w:keepLines/>
      <w:spacing w:before="240" w:after="0"/>
      <w:outlineLvl w:val="0"/>
    </w:pPr>
    <w:rPr>
      <w:rFonts w:ascii="Calibri Light" w:eastAsia="Times New Roman" w:hAnsi="Calibri Light" w:cs="Times New Roman"/>
      <w:color w:val="2E74B5"/>
      <w:sz w:val="32"/>
      <w:szCs w:val="32"/>
    </w:rPr>
  </w:style>
  <w:style w:type="paragraph" w:customStyle="1" w:styleId="Nagwek21">
    <w:name w:val="Nagłówek 21"/>
    <w:basedOn w:val="Normalny"/>
    <w:next w:val="Normalny"/>
    <w:uiPriority w:val="9"/>
    <w:semiHidden/>
    <w:unhideWhenUsed/>
    <w:qFormat/>
    <w:rsid w:val="00916C90"/>
    <w:pPr>
      <w:keepNext/>
      <w:keepLines/>
      <w:spacing w:before="40" w:after="0"/>
      <w:outlineLvl w:val="1"/>
    </w:pPr>
    <w:rPr>
      <w:rFonts w:ascii="Calibri Light" w:eastAsia="Times New Roman" w:hAnsi="Calibri Light" w:cs="Times New Roman"/>
      <w:color w:val="2E74B5"/>
      <w:sz w:val="26"/>
      <w:szCs w:val="26"/>
    </w:rPr>
  </w:style>
  <w:style w:type="character" w:customStyle="1" w:styleId="Nagwek3Znak">
    <w:name w:val="Nagłówek 3 Znak"/>
    <w:basedOn w:val="Domylnaczcionkaakapitu"/>
    <w:link w:val="Nagwek3"/>
    <w:uiPriority w:val="9"/>
    <w:rsid w:val="00916C90"/>
    <w:rPr>
      <w:rFonts w:ascii="Arial" w:eastAsia="Times New Roman" w:hAnsi="Arial" w:cs="Arial"/>
      <w:b/>
      <w:bCs/>
      <w:sz w:val="26"/>
      <w:szCs w:val="26"/>
      <w:lang w:val="en-GB"/>
    </w:rPr>
  </w:style>
  <w:style w:type="character" w:customStyle="1" w:styleId="Nagwek1Znak">
    <w:name w:val="Nagłówek 1 Znak"/>
    <w:basedOn w:val="Domylnaczcionkaakapitu"/>
    <w:link w:val="Nagwek1"/>
    <w:uiPriority w:val="9"/>
    <w:rsid w:val="00916C90"/>
    <w:rPr>
      <w:rFonts w:ascii="Calibri Light" w:eastAsia="Times New Roman" w:hAnsi="Calibri Light" w:cs="Times New Roman"/>
      <w:color w:val="2E74B5"/>
      <w:sz w:val="32"/>
      <w:szCs w:val="32"/>
    </w:rPr>
  </w:style>
  <w:style w:type="character" w:customStyle="1" w:styleId="Nagwek2Znak">
    <w:name w:val="Nagłówek 2 Znak"/>
    <w:basedOn w:val="Domylnaczcionkaakapitu"/>
    <w:link w:val="Nagwek2"/>
    <w:uiPriority w:val="9"/>
    <w:semiHidden/>
    <w:rsid w:val="00916C90"/>
    <w:rPr>
      <w:rFonts w:ascii="Calibri Light" w:eastAsia="Times New Roman" w:hAnsi="Calibri Light" w:cs="Times New Roman"/>
      <w:color w:val="2E74B5"/>
      <w:sz w:val="26"/>
      <w:szCs w:val="26"/>
    </w:rPr>
  </w:style>
  <w:style w:type="paragraph" w:customStyle="1" w:styleId="Tekstprzypisudolnego1">
    <w:name w:val="Tekst przypisu dolnego1"/>
    <w:basedOn w:val="Normalny"/>
    <w:next w:val="Tekstprzypisudolnego"/>
    <w:link w:val="TekstprzypisudolnegoZnak"/>
    <w:uiPriority w:val="99"/>
    <w:semiHidden/>
    <w:unhideWhenUsed/>
    <w:rsid w:val="00916C90"/>
    <w:pPr>
      <w:spacing w:after="0" w:line="240" w:lineRule="auto"/>
    </w:pPr>
    <w:rPr>
      <w:sz w:val="20"/>
      <w:szCs w:val="20"/>
    </w:rPr>
  </w:style>
  <w:style w:type="character" w:customStyle="1" w:styleId="TekstprzypisudolnegoZnak">
    <w:name w:val="Tekst przypisu dolnego Znak"/>
    <w:basedOn w:val="Domylnaczcionkaakapitu"/>
    <w:link w:val="Tekstprzypisudolnego1"/>
    <w:uiPriority w:val="99"/>
    <w:semiHidden/>
    <w:rsid w:val="00916C90"/>
    <w:rPr>
      <w:sz w:val="20"/>
      <w:szCs w:val="20"/>
    </w:rPr>
  </w:style>
  <w:style w:type="character" w:styleId="Odwoanieprzypisudolnego">
    <w:name w:val="footnote reference"/>
    <w:basedOn w:val="Domylnaczcionkaakapitu"/>
    <w:uiPriority w:val="99"/>
    <w:semiHidden/>
    <w:unhideWhenUsed/>
    <w:rsid w:val="00916C90"/>
    <w:rPr>
      <w:vertAlign w:val="superscript"/>
    </w:rPr>
  </w:style>
  <w:style w:type="paragraph" w:customStyle="1" w:styleId="Tekstprzypisukocowego1">
    <w:name w:val="Tekst przypisu końcowego1"/>
    <w:basedOn w:val="Normalny"/>
    <w:next w:val="Tekstprzypisukocowego"/>
    <w:link w:val="TekstprzypisukocowegoZnak"/>
    <w:uiPriority w:val="99"/>
    <w:semiHidden/>
    <w:unhideWhenUsed/>
    <w:rsid w:val="00916C90"/>
    <w:pPr>
      <w:spacing w:after="0" w:line="240" w:lineRule="auto"/>
    </w:pPr>
    <w:rPr>
      <w:sz w:val="20"/>
      <w:szCs w:val="20"/>
    </w:rPr>
  </w:style>
  <w:style w:type="character" w:customStyle="1" w:styleId="TekstprzypisukocowegoZnak">
    <w:name w:val="Tekst przypisu końcowego Znak"/>
    <w:basedOn w:val="Domylnaczcionkaakapitu"/>
    <w:link w:val="Tekstprzypisukocowego1"/>
    <w:uiPriority w:val="99"/>
    <w:semiHidden/>
    <w:rsid w:val="00916C90"/>
    <w:rPr>
      <w:sz w:val="20"/>
      <w:szCs w:val="20"/>
    </w:rPr>
  </w:style>
  <w:style w:type="character" w:styleId="Odwoanieprzypisukocowego">
    <w:name w:val="endnote reference"/>
    <w:basedOn w:val="Domylnaczcionkaakapitu"/>
    <w:uiPriority w:val="99"/>
    <w:semiHidden/>
    <w:unhideWhenUsed/>
    <w:rsid w:val="00916C90"/>
    <w:rPr>
      <w:vertAlign w:val="superscript"/>
    </w:rPr>
  </w:style>
  <w:style w:type="paragraph" w:customStyle="1" w:styleId="Akapitzlist1">
    <w:name w:val="Akapit z listą1"/>
    <w:basedOn w:val="Normalny"/>
    <w:next w:val="Akapitzlist"/>
    <w:uiPriority w:val="34"/>
    <w:qFormat/>
    <w:rsid w:val="00916C90"/>
    <w:pPr>
      <w:ind w:left="720"/>
      <w:contextualSpacing/>
    </w:pPr>
  </w:style>
  <w:style w:type="character" w:styleId="Hipercze">
    <w:name w:val="Hyperlink"/>
    <w:basedOn w:val="Domylnaczcionkaakapitu"/>
    <w:uiPriority w:val="99"/>
    <w:unhideWhenUsed/>
    <w:rsid w:val="00916C90"/>
    <w:rPr>
      <w:color w:val="0563C1"/>
      <w:u w:val="single"/>
    </w:rPr>
  </w:style>
  <w:style w:type="numbering" w:customStyle="1" w:styleId="Bezlisty1">
    <w:name w:val="Bez listy1"/>
    <w:next w:val="Bezlisty"/>
    <w:semiHidden/>
    <w:rsid w:val="00916C90"/>
  </w:style>
  <w:style w:type="paragraph" w:styleId="Stopka">
    <w:name w:val="footer"/>
    <w:basedOn w:val="Normalny"/>
    <w:link w:val="StopkaZnak"/>
    <w:uiPriority w:val="99"/>
    <w:rsid w:val="00916C9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StopkaZnak">
    <w:name w:val="Stopka Znak"/>
    <w:basedOn w:val="Domylnaczcionkaakapitu"/>
    <w:link w:val="Stopka"/>
    <w:uiPriority w:val="99"/>
    <w:rsid w:val="00916C90"/>
    <w:rPr>
      <w:rFonts w:ascii="Times New Roman" w:eastAsia="Times New Roman" w:hAnsi="Times New Roman" w:cs="Times New Roman"/>
      <w:sz w:val="24"/>
      <w:szCs w:val="24"/>
      <w:lang w:val="en-GB"/>
    </w:rPr>
  </w:style>
  <w:style w:type="character" w:styleId="Numerstrony">
    <w:name w:val="page number"/>
    <w:basedOn w:val="Domylnaczcionkaakapitu"/>
    <w:rsid w:val="00916C90"/>
  </w:style>
  <w:style w:type="table" w:styleId="Tabela-Siatka">
    <w:name w:val="Table Grid"/>
    <w:basedOn w:val="Standardowy"/>
    <w:uiPriority w:val="59"/>
    <w:rsid w:val="00916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916C90"/>
  </w:style>
  <w:style w:type="table" w:customStyle="1" w:styleId="Tabela-Siatka1">
    <w:name w:val="Tabela - Siatka1"/>
    <w:basedOn w:val="Standardowy"/>
    <w:next w:val="Tabela-Siatka"/>
    <w:uiPriority w:val="39"/>
    <w:rsid w:val="00916C9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10">
    <w:name w:val="Nagłówek1"/>
    <w:basedOn w:val="Normalny"/>
    <w:next w:val="Nagwek"/>
    <w:link w:val="NagwekZnak"/>
    <w:uiPriority w:val="99"/>
    <w:unhideWhenUsed/>
    <w:rsid w:val="00916C90"/>
    <w:pPr>
      <w:tabs>
        <w:tab w:val="center" w:pos="4536"/>
        <w:tab w:val="right" w:pos="9072"/>
      </w:tabs>
      <w:spacing w:after="0" w:line="240" w:lineRule="auto"/>
    </w:pPr>
  </w:style>
  <w:style w:type="character" w:customStyle="1" w:styleId="NagwekZnak">
    <w:name w:val="Nagłówek Znak"/>
    <w:basedOn w:val="Domylnaczcionkaakapitu"/>
    <w:link w:val="Nagwek10"/>
    <w:uiPriority w:val="99"/>
    <w:rsid w:val="00916C90"/>
  </w:style>
  <w:style w:type="paragraph" w:customStyle="1" w:styleId="Tekstdymka1">
    <w:name w:val="Tekst dymka1"/>
    <w:basedOn w:val="Normalny"/>
    <w:next w:val="Tekstdymka"/>
    <w:link w:val="TekstdymkaZnak"/>
    <w:uiPriority w:val="99"/>
    <w:semiHidden/>
    <w:unhideWhenUsed/>
    <w:rsid w:val="00916C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1"/>
    <w:uiPriority w:val="99"/>
    <w:semiHidden/>
    <w:rsid w:val="00916C90"/>
    <w:rPr>
      <w:rFonts w:ascii="Segoe UI" w:hAnsi="Segoe UI" w:cs="Segoe UI"/>
      <w:sz w:val="18"/>
      <w:szCs w:val="18"/>
    </w:rPr>
  </w:style>
  <w:style w:type="numbering" w:customStyle="1" w:styleId="Bezlisty2">
    <w:name w:val="Bez listy2"/>
    <w:next w:val="Bezlisty"/>
    <w:uiPriority w:val="99"/>
    <w:semiHidden/>
    <w:unhideWhenUsed/>
    <w:rsid w:val="00916C90"/>
  </w:style>
  <w:style w:type="character" w:customStyle="1" w:styleId="Nagwek1Znak1">
    <w:name w:val="Nagłówek 1 Znak1"/>
    <w:basedOn w:val="Domylnaczcionkaakapitu"/>
    <w:uiPriority w:val="9"/>
    <w:rsid w:val="00916C90"/>
    <w:rPr>
      <w:rFonts w:asciiTheme="majorHAnsi" w:eastAsiaTheme="majorEastAsia" w:hAnsiTheme="majorHAnsi" w:cstheme="majorBidi"/>
      <w:color w:val="2E74B5" w:themeColor="accent1" w:themeShade="BF"/>
      <w:sz w:val="32"/>
      <w:szCs w:val="32"/>
    </w:rPr>
  </w:style>
  <w:style w:type="character" w:customStyle="1" w:styleId="Nagwek2Znak1">
    <w:name w:val="Nagłówek 2 Znak1"/>
    <w:basedOn w:val="Domylnaczcionkaakapitu"/>
    <w:uiPriority w:val="9"/>
    <w:semiHidden/>
    <w:rsid w:val="00916C90"/>
    <w:rPr>
      <w:rFonts w:asciiTheme="majorHAnsi" w:eastAsiaTheme="majorEastAsia" w:hAnsiTheme="majorHAnsi" w:cstheme="majorBidi"/>
      <w:color w:val="2E74B5" w:themeColor="accent1" w:themeShade="BF"/>
      <w:sz w:val="26"/>
      <w:szCs w:val="26"/>
    </w:rPr>
  </w:style>
  <w:style w:type="paragraph" w:styleId="Tekstprzypisudolnego">
    <w:name w:val="footnote text"/>
    <w:basedOn w:val="Normalny"/>
    <w:link w:val="TekstprzypisudolnegoZnak1"/>
    <w:uiPriority w:val="99"/>
    <w:semiHidden/>
    <w:unhideWhenUsed/>
    <w:rsid w:val="00916C90"/>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916C90"/>
    <w:rPr>
      <w:sz w:val="20"/>
      <w:szCs w:val="20"/>
    </w:rPr>
  </w:style>
  <w:style w:type="paragraph" w:styleId="Tekstprzypisukocowego">
    <w:name w:val="endnote text"/>
    <w:basedOn w:val="Normalny"/>
    <w:link w:val="TekstprzypisukocowegoZnak1"/>
    <w:uiPriority w:val="99"/>
    <w:semiHidden/>
    <w:unhideWhenUsed/>
    <w:rsid w:val="00916C90"/>
    <w:pPr>
      <w:spacing w:after="0" w:line="240" w:lineRule="auto"/>
    </w:pPr>
    <w:rPr>
      <w:sz w:val="20"/>
      <w:szCs w:val="20"/>
    </w:rPr>
  </w:style>
  <w:style w:type="character" w:customStyle="1" w:styleId="TekstprzypisukocowegoZnak1">
    <w:name w:val="Tekst przypisu końcowego Znak1"/>
    <w:basedOn w:val="Domylnaczcionkaakapitu"/>
    <w:link w:val="Tekstprzypisukocowego"/>
    <w:uiPriority w:val="99"/>
    <w:semiHidden/>
    <w:rsid w:val="00916C90"/>
    <w:rPr>
      <w:sz w:val="20"/>
      <w:szCs w:val="20"/>
    </w:rPr>
  </w:style>
  <w:style w:type="paragraph" w:styleId="Akapitzlist">
    <w:name w:val="List Paragraph"/>
    <w:basedOn w:val="Normalny"/>
    <w:uiPriority w:val="34"/>
    <w:qFormat/>
    <w:rsid w:val="00916C90"/>
    <w:pPr>
      <w:ind w:left="720"/>
      <w:contextualSpacing/>
    </w:pPr>
  </w:style>
  <w:style w:type="paragraph" w:styleId="Nagwek">
    <w:name w:val="header"/>
    <w:basedOn w:val="Normalny"/>
    <w:link w:val="NagwekZnak1"/>
    <w:uiPriority w:val="99"/>
    <w:semiHidden/>
    <w:unhideWhenUsed/>
    <w:rsid w:val="00916C90"/>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916C90"/>
  </w:style>
  <w:style w:type="paragraph" w:styleId="Tekstdymka">
    <w:name w:val="Balloon Text"/>
    <w:basedOn w:val="Normalny"/>
    <w:link w:val="TekstdymkaZnak1"/>
    <w:uiPriority w:val="99"/>
    <w:semiHidden/>
    <w:unhideWhenUsed/>
    <w:rsid w:val="00916C90"/>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916C90"/>
    <w:rPr>
      <w:rFonts w:ascii="Segoe UI" w:hAnsi="Segoe UI" w:cs="Segoe UI"/>
      <w:sz w:val="18"/>
      <w:szCs w:val="18"/>
    </w:rPr>
  </w:style>
  <w:style w:type="character" w:styleId="Odwoaniedokomentarza">
    <w:name w:val="annotation reference"/>
    <w:basedOn w:val="Domylnaczcionkaakapitu"/>
    <w:uiPriority w:val="99"/>
    <w:semiHidden/>
    <w:unhideWhenUsed/>
    <w:rsid w:val="007054BC"/>
    <w:rPr>
      <w:sz w:val="16"/>
      <w:szCs w:val="16"/>
    </w:rPr>
  </w:style>
  <w:style w:type="paragraph" w:styleId="Tekstkomentarza">
    <w:name w:val="annotation text"/>
    <w:basedOn w:val="Normalny"/>
    <w:link w:val="TekstkomentarzaZnak"/>
    <w:uiPriority w:val="99"/>
    <w:semiHidden/>
    <w:unhideWhenUsed/>
    <w:rsid w:val="007054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54BC"/>
    <w:rPr>
      <w:sz w:val="20"/>
      <w:szCs w:val="20"/>
    </w:rPr>
  </w:style>
  <w:style w:type="paragraph" w:styleId="Tematkomentarza">
    <w:name w:val="annotation subject"/>
    <w:basedOn w:val="Tekstkomentarza"/>
    <w:next w:val="Tekstkomentarza"/>
    <w:link w:val="TematkomentarzaZnak"/>
    <w:uiPriority w:val="99"/>
    <w:semiHidden/>
    <w:unhideWhenUsed/>
    <w:rsid w:val="007054BC"/>
    <w:rPr>
      <w:b/>
      <w:bCs/>
    </w:rPr>
  </w:style>
  <w:style w:type="character" w:customStyle="1" w:styleId="TematkomentarzaZnak">
    <w:name w:val="Temat komentarza Znak"/>
    <w:basedOn w:val="TekstkomentarzaZnak"/>
    <w:link w:val="Tematkomentarza"/>
    <w:uiPriority w:val="99"/>
    <w:semiHidden/>
    <w:rsid w:val="007054BC"/>
    <w:rPr>
      <w:b/>
      <w:bCs/>
      <w:sz w:val="20"/>
      <w:szCs w:val="20"/>
    </w:rPr>
  </w:style>
  <w:style w:type="paragraph" w:styleId="Poprawka">
    <w:name w:val="Revision"/>
    <w:hidden/>
    <w:uiPriority w:val="99"/>
    <w:semiHidden/>
    <w:rsid w:val="007054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2531">
      <w:bodyDiv w:val="1"/>
      <w:marLeft w:val="0"/>
      <w:marRight w:val="0"/>
      <w:marTop w:val="0"/>
      <w:marBottom w:val="0"/>
      <w:divBdr>
        <w:top w:val="none" w:sz="0" w:space="0" w:color="auto"/>
        <w:left w:val="none" w:sz="0" w:space="0" w:color="auto"/>
        <w:bottom w:val="none" w:sz="0" w:space="0" w:color="auto"/>
        <w:right w:val="none" w:sz="0" w:space="0" w:color="auto"/>
      </w:divBdr>
    </w:div>
    <w:div w:id="339746552">
      <w:bodyDiv w:val="1"/>
      <w:marLeft w:val="0"/>
      <w:marRight w:val="0"/>
      <w:marTop w:val="0"/>
      <w:marBottom w:val="0"/>
      <w:divBdr>
        <w:top w:val="none" w:sz="0" w:space="0" w:color="auto"/>
        <w:left w:val="none" w:sz="0" w:space="0" w:color="auto"/>
        <w:bottom w:val="none" w:sz="0" w:space="0" w:color="auto"/>
        <w:right w:val="none" w:sz="0" w:space="0" w:color="auto"/>
      </w:divBdr>
    </w:div>
    <w:div w:id="416943791">
      <w:bodyDiv w:val="1"/>
      <w:marLeft w:val="0"/>
      <w:marRight w:val="0"/>
      <w:marTop w:val="0"/>
      <w:marBottom w:val="0"/>
      <w:divBdr>
        <w:top w:val="none" w:sz="0" w:space="0" w:color="auto"/>
        <w:left w:val="none" w:sz="0" w:space="0" w:color="auto"/>
        <w:bottom w:val="none" w:sz="0" w:space="0" w:color="auto"/>
        <w:right w:val="none" w:sz="0" w:space="0" w:color="auto"/>
      </w:divBdr>
    </w:div>
    <w:div w:id="803012609">
      <w:bodyDiv w:val="1"/>
      <w:marLeft w:val="0"/>
      <w:marRight w:val="0"/>
      <w:marTop w:val="0"/>
      <w:marBottom w:val="0"/>
      <w:divBdr>
        <w:top w:val="none" w:sz="0" w:space="0" w:color="auto"/>
        <w:left w:val="none" w:sz="0" w:space="0" w:color="auto"/>
        <w:bottom w:val="none" w:sz="0" w:space="0" w:color="auto"/>
        <w:right w:val="none" w:sz="0" w:space="0" w:color="auto"/>
      </w:divBdr>
    </w:div>
    <w:div w:id="806976644">
      <w:bodyDiv w:val="1"/>
      <w:marLeft w:val="0"/>
      <w:marRight w:val="0"/>
      <w:marTop w:val="0"/>
      <w:marBottom w:val="0"/>
      <w:divBdr>
        <w:top w:val="none" w:sz="0" w:space="0" w:color="auto"/>
        <w:left w:val="none" w:sz="0" w:space="0" w:color="auto"/>
        <w:bottom w:val="none" w:sz="0" w:space="0" w:color="auto"/>
        <w:right w:val="none" w:sz="0" w:space="0" w:color="auto"/>
      </w:divBdr>
    </w:div>
    <w:div w:id="955066178">
      <w:bodyDiv w:val="1"/>
      <w:marLeft w:val="0"/>
      <w:marRight w:val="0"/>
      <w:marTop w:val="0"/>
      <w:marBottom w:val="0"/>
      <w:divBdr>
        <w:top w:val="none" w:sz="0" w:space="0" w:color="auto"/>
        <w:left w:val="none" w:sz="0" w:space="0" w:color="auto"/>
        <w:bottom w:val="none" w:sz="0" w:space="0" w:color="auto"/>
        <w:right w:val="none" w:sz="0" w:space="0" w:color="auto"/>
      </w:divBdr>
    </w:div>
    <w:div w:id="971983891">
      <w:bodyDiv w:val="1"/>
      <w:marLeft w:val="0"/>
      <w:marRight w:val="0"/>
      <w:marTop w:val="0"/>
      <w:marBottom w:val="0"/>
      <w:divBdr>
        <w:top w:val="none" w:sz="0" w:space="0" w:color="auto"/>
        <w:left w:val="none" w:sz="0" w:space="0" w:color="auto"/>
        <w:bottom w:val="none" w:sz="0" w:space="0" w:color="auto"/>
        <w:right w:val="none" w:sz="0" w:space="0" w:color="auto"/>
      </w:divBdr>
    </w:div>
    <w:div w:id="1138380850">
      <w:bodyDiv w:val="1"/>
      <w:marLeft w:val="0"/>
      <w:marRight w:val="0"/>
      <w:marTop w:val="0"/>
      <w:marBottom w:val="0"/>
      <w:divBdr>
        <w:top w:val="none" w:sz="0" w:space="0" w:color="auto"/>
        <w:left w:val="none" w:sz="0" w:space="0" w:color="auto"/>
        <w:bottom w:val="none" w:sz="0" w:space="0" w:color="auto"/>
        <w:right w:val="none" w:sz="0" w:space="0" w:color="auto"/>
      </w:divBdr>
    </w:div>
    <w:div w:id="1143233341">
      <w:bodyDiv w:val="1"/>
      <w:marLeft w:val="0"/>
      <w:marRight w:val="0"/>
      <w:marTop w:val="0"/>
      <w:marBottom w:val="0"/>
      <w:divBdr>
        <w:top w:val="none" w:sz="0" w:space="0" w:color="auto"/>
        <w:left w:val="none" w:sz="0" w:space="0" w:color="auto"/>
        <w:bottom w:val="none" w:sz="0" w:space="0" w:color="auto"/>
        <w:right w:val="none" w:sz="0" w:space="0" w:color="auto"/>
      </w:divBdr>
    </w:div>
    <w:div w:id="1285696150">
      <w:bodyDiv w:val="1"/>
      <w:marLeft w:val="0"/>
      <w:marRight w:val="0"/>
      <w:marTop w:val="0"/>
      <w:marBottom w:val="0"/>
      <w:divBdr>
        <w:top w:val="none" w:sz="0" w:space="0" w:color="auto"/>
        <w:left w:val="none" w:sz="0" w:space="0" w:color="auto"/>
        <w:bottom w:val="none" w:sz="0" w:space="0" w:color="auto"/>
        <w:right w:val="none" w:sz="0" w:space="0" w:color="auto"/>
      </w:divBdr>
    </w:div>
    <w:div w:id="2065173635">
      <w:bodyDiv w:val="1"/>
      <w:marLeft w:val="0"/>
      <w:marRight w:val="0"/>
      <w:marTop w:val="0"/>
      <w:marBottom w:val="0"/>
      <w:divBdr>
        <w:top w:val="none" w:sz="0" w:space="0" w:color="auto"/>
        <w:left w:val="none" w:sz="0" w:space="0" w:color="auto"/>
        <w:bottom w:val="none" w:sz="0" w:space="0" w:color="auto"/>
        <w:right w:val="none" w:sz="0" w:space="0" w:color="auto"/>
      </w:divBdr>
    </w:div>
    <w:div w:id="2081903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C8D8F-DC62-46FE-BC78-FA8D5F09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9578</Words>
  <Characters>57472</Characters>
  <Application>Microsoft Office Word</Application>
  <DocSecurity>0</DocSecurity>
  <Lines>478</Lines>
  <Paragraphs>133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Tomkiewicz</dc:creator>
  <cp:keywords/>
  <dc:description/>
  <cp:lastModifiedBy>Jacek Tomkiewicz</cp:lastModifiedBy>
  <cp:revision>2</cp:revision>
  <dcterms:created xsi:type="dcterms:W3CDTF">2019-05-03T09:40:00Z</dcterms:created>
  <dcterms:modified xsi:type="dcterms:W3CDTF">2019-05-03T09:40:00Z</dcterms:modified>
</cp:coreProperties>
</file>